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phosphorus level is:</w:t>
      </w:r>
    </w:p>
    <w:p>
      <w:r>
        <w:t xml:space="preserve">(a) 2.5–4.5 mg/dL</w:t>
      </w:r>
    </w:p>
    <w:p>
      <w:r>
        <w:t xml:space="preserve">(b) 0.5–1.5 mg/dL</w:t>
      </w:r>
    </w:p>
    <w:p>
      <w:r>
        <w:t xml:space="preserve">(c) 6–8 mg/dL</w:t>
      </w:r>
    </w:p>
    <w:p>
      <w:r>
        <w:t xml:space="preserve">(d) 10–12 mg/dL</w:t>
      </w:r>
    </w:p>
    <w:p>
      <w:r>
        <w:t xml:space="preserve">Answer: a</w:t>
      </w:r>
    </w:p>
    <w:p>
      <w:r>
        <w:t xml:space="preserve">Solution: Normal phosphorus is 2.5–4.5 mg/dL. Hyperphosphatemia occurs in renal failure; hypophosphatemia in malnutrition/refeeding.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 fever. Which intervention promotes comfort?</w:t>
      </w:r>
    </w:p>
    <w:p>
      <w:r>
        <w:t xml:space="preserve">(a) Antipyretics as ordered, light clothing, and increased fluids</w:t>
      </w:r>
    </w:p>
    <w:p>
      <w:r>
        <w:t xml:space="preserve">(b) Heavy blankets</w:t>
      </w:r>
    </w:p>
    <w:p>
      <w:r>
        <w:t xml:space="preserve">(c) Ice-cold baths</w:t>
      </w:r>
    </w:p>
    <w:p>
      <w:r>
        <w:t xml:space="preserve">(d) Restricted fluids</w:t>
      </w:r>
    </w:p>
    <w:p>
      <w:r>
        <w:t xml:space="preserve">Answer: a</w:t>
      </w:r>
    </w:p>
    <w:p>
      <w:r>
        <w:t xml:space="preserve">Solution: Fever management — antipyretics, light clothing, tepid sponging (not ice-cold), and fluids. The nurse monitors temperature, hydration, and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the renal diet. The nurse should teach the patient to:</w:t>
      </w:r>
    </w:p>
    <w:p>
      <w:r>
        <w:t xml:space="preserve">(a) Limit sodium, potassium, and phosphorus</w:t>
      </w:r>
    </w:p>
    <w:p>
      <w:r>
        <w:t xml:space="preserve">(b) Increase potassium</w:t>
      </w:r>
    </w:p>
    <w:p>
      <w:r>
        <w:t xml:space="preserve">(c) Increase phosphorus</w:t>
      </w:r>
    </w:p>
    <w:p>
      <w:r>
        <w:t xml:space="preserve">(d) Take salt freely</w:t>
      </w:r>
    </w:p>
    <w:p>
      <w:r>
        <w:t xml:space="preserve">Answer: a</w:t>
      </w:r>
    </w:p>
    <w:p>
      <w:r>
        <w:t xml:space="preserve">Solution: The renal diet restricts sodium, potassium, and phosphorus (and moderates protein) — preventing fluid overload, hyperkalemia, and bone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26 weeks of gestation is being assessed. Which symptom requires immediate reporting?</w:t>
      </w:r>
    </w:p>
    <w:p>
      <w:r>
        <w:t xml:space="preserve">(a) Severe headache with visual disturbances</w:t>
      </w:r>
    </w:p>
    <w:p>
      <w:r>
        <w:t xml:space="preserve">(b) Mild backache</w:t>
      </w:r>
    </w:p>
    <w:p>
      <w:r>
        <w:t xml:space="preserve">(c) Occasional heartburn</w:t>
      </w:r>
    </w:p>
    <w:p>
      <w:r>
        <w:t xml:space="preserve">(d) Leg cramps at night</w:t>
      </w:r>
    </w:p>
    <w:p>
      <w:r>
        <w:t xml:space="preserve">Answer: a</w:t>
      </w:r>
    </w:p>
    <w:p>
      <w:r>
        <w:t xml:space="preserve">Solution: Severe headache with visual changes in pregnancy may indicate preeclampsia — the nurse advises immediate reporting and BP assessment. Backache, heartburn, and leg cramps are common.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5-month-old infant is due for immunization. Which vaccines are given at 6 weeks (per UIP)?</w:t>
      </w:r>
    </w:p>
    <w:p>
      <w:r>
        <w:t xml:space="preserve">(a) DPT-1, OPV-1, Hepatitis B-1, and IPV-1</w:t>
      </w:r>
    </w:p>
    <w:p>
      <w:r>
        <w:t xml:space="preserve">(b) Measles</w:t>
      </w:r>
    </w:p>
    <w:p>
      <w:r>
        <w:t xml:space="preserve">(c) BCG booster</w:t>
      </w:r>
    </w:p>
    <w:p>
      <w:r>
        <w:t xml:space="preserve">(d) None</w:t>
      </w:r>
    </w:p>
    <w:p>
      <w:r>
        <w:t xml:space="preserve">Answer: a</w:t>
      </w:r>
    </w:p>
    <w:p>
      <w:r>
        <w:t xml:space="preserve">Solution: At 6 weeks — DPT-1, OPV-1, Hepatitis B-1 (and IPV-1 per schedule). BCG/OPV-0/Hep B birth dose are at birth; measles/MR at 9 months.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discharged. The nurse should teach the patient to:</w:t>
      </w:r>
    </w:p>
    <w:p>
      <w:r>
        <w:t xml:space="preserve">(a) Take medication regularly, attend follow-up, and report side effects</w:t>
      </w:r>
    </w:p>
    <w:p>
      <w:r>
        <w:t xml:space="preserve">(b) Stop medication when symptoms improve</w:t>
      </w:r>
    </w:p>
    <w:p>
      <w:r>
        <w:t xml:space="preserve">(c) Skip follow-up</w:t>
      </w:r>
    </w:p>
    <w:p>
      <w:r>
        <w:t xml:space="preserve">(d) Double the dose</w:t>
      </w:r>
    </w:p>
    <w:p>
      <w:r>
        <w:t xml:space="preserve">Answer: a</w:t>
      </w:r>
    </w:p>
    <w:p>
      <w:r>
        <w:t xml:space="preserve">Solution: Schizophrenia discharge teaching — medication adherence, scheduled follow-up, side-effect reporting, and family support prevent relapse.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provides:</w:t>
      </w:r>
    </w:p>
    <w:p>
      <w:r>
        <w:t xml:space="preserve">(a) Generic medicines at affordable prices</w:t>
      </w:r>
    </w:p>
    <w:p>
      <w:r>
        <w:t xml:space="preserve">(b) Branded medicines at full price</w:t>
      </w:r>
    </w:p>
    <w:p>
      <w:r>
        <w:t xml:space="preserve">(c) Cosmetic products</w:t>
      </w:r>
    </w:p>
    <w:p>
      <w:r>
        <w:t xml:space="preserve">(d) Imported luxury goods</w:t>
      </w:r>
    </w:p>
    <w:p>
      <w:r>
        <w:t xml:space="preserve">Answer: a</w:t>
      </w:r>
    </w:p>
    <w:p>
      <w:r>
        <w:t xml:space="preserve">Solution: Jan Aushadhi Kendras provide quality generic medicines at 50–90% lower prices than branded equivalents.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88 mg of a medication. The vial contains 22 mg/mL. The volume to give is:</w:t>
      </w:r>
    </w:p>
    <w:p>
      <w:r>
        <w:t xml:space="preserve">(a) 3 mL</w:t>
      </w:r>
    </w:p>
    <w:p>
      <w:r>
        <w:t xml:space="preserve">(b) 4 mL</w:t>
      </w:r>
    </w:p>
    <w:p>
      <w:r>
        <w:t xml:space="preserve">(c) 5 mL</w:t>
      </w:r>
    </w:p>
    <w:p>
      <w:r>
        <w:t xml:space="preserve">(d) 6 mL</w:t>
      </w:r>
    </w:p>
    <w:p>
      <w:r>
        <w:t xml:space="preserve">Answer: b</w:t>
      </w:r>
    </w:p>
    <w:p>
      <w:r>
        <w:t xml:space="preserve">Solution: Volume = 88 ÷ 22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heart is:</w:t>
      </w:r>
    </w:p>
    <w:p>
      <w:r>
        <w:t xml:space="preserve">(a) Pumping blood to the body and lungs</w:t>
      </w:r>
    </w:p>
    <w:p>
      <w:r>
        <w:t xml:space="preserve">(b) Digesting food</w:t>
      </w:r>
    </w:p>
    <w:p>
      <w:r>
        <w:t xml:space="preserve">(c) Producing hormones only</w:t>
      </w:r>
    </w:p>
    <w:p>
      <w:r>
        <w:t xml:space="preserve">(d) Filtering blood</w:t>
      </w:r>
    </w:p>
    <w:p>
      <w:r>
        <w:t xml:space="preserve">Answer: a</w:t>
      </w:r>
    </w:p>
    <w:p>
      <w:r>
        <w:t xml:space="preserve">Solution: The heart pumps oxygenated blood to the body and deoxygenated blood to the lungs — maintaining circulation of oxygen, nutrients, and waste removal.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ankle is being taught about RICE therapy. Which component is correct?</w:t>
      </w:r>
    </w:p>
    <w:p>
      <w:r>
        <w:t xml:space="preserve">(a) Ice for 20 minutes at a time with elevation</w:t>
      </w:r>
    </w:p>
    <w:p>
      <w:r>
        <w:t xml:space="preserve">(b) Heat for the first 48 hours</w:t>
      </w:r>
    </w:p>
    <w:p>
      <w:r>
        <w:t xml:space="preserve">(c) Weight bearing immediately</w:t>
      </w:r>
    </w:p>
    <w:p>
      <w:r>
        <w:t xml:space="preserve">(d) Massage vigorously</w:t>
      </w:r>
    </w:p>
    <w:p>
      <w:r>
        <w:t xml:space="preserve">Answer: a</w:t>
      </w:r>
    </w:p>
    <w:p>
      <w:r>
        <w:t xml:space="preserve">Solution: RICE — rest, ice (20 minutes at a time, first 48 hours), compression, and elevation — reduces swelling and pain after acute injury. Heat and massage are avoided initially.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calcium level is:</w:t>
      </w:r>
    </w:p>
    <w:p>
      <w:r>
        <w:t xml:space="preserve">(a) 8.5–10.5 mg/dL</w:t>
      </w:r>
    </w:p>
    <w:p>
      <w:r>
        <w:t xml:space="preserve">(b) 4–6 mg/dL</w:t>
      </w:r>
    </w:p>
    <w:p>
      <w:r>
        <w:t xml:space="preserve">(c) 12–15 mg/dL</w:t>
      </w:r>
    </w:p>
    <w:p>
      <w:r>
        <w:t xml:space="preserve">(d) 18–20 mg/dL</w:t>
      </w:r>
    </w:p>
    <w:p>
      <w:r>
        <w:t xml:space="preserve">Answer: a</w:t>
      </w:r>
    </w:p>
    <w:p>
      <w:r>
        <w:t xml:space="preserve">Solution: Normal calcium is 8.5–10.5 mg/dL. Hypocalcemia causes tetany; hypercalcemia causes polyuria and arrhythmias.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nasogastric tube. Which finding indicates correct placement in the stomach?</w:t>
      </w:r>
    </w:p>
    <w:p>
      <w:r>
        <w:t xml:space="preserve">(a) Aspirate pH of 5.5 or less</w:t>
      </w:r>
    </w:p>
    <w:p>
      <w:r>
        <w:t xml:space="preserve">(b) Aspirate pH of 7 or more</w:t>
      </w:r>
    </w:p>
    <w:p>
      <w:r>
        <w:t xml:space="preserve">(c) Patient coughing</w:t>
      </w:r>
    </w:p>
    <w:p>
      <w:r>
        <w:t xml:space="preserve">(d) Absent breath sounds</w:t>
      </w:r>
    </w:p>
    <w:p>
      <w:r>
        <w:t xml:space="preserve">Answer: a</w:t>
      </w:r>
    </w:p>
    <w:p>
      <w:r>
        <w:t xml:space="preserve">Solution: Gastric aspirate pH ≤5.5 confirms gastric placement (intestinal pH &gt;6, respiratory &gt;7). The nurse verifies placement before each feed; X-ray confirms initial 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has fever and flank pain. The nurse should:</w:t>
      </w:r>
    </w:p>
    <w:p>
      <w:r>
        <w:t xml:space="preserve">(a) Administer antibiotics and encourage fluids</w:t>
      </w:r>
    </w:p>
    <w:p>
      <w:r>
        <w:t xml:space="preserve">(b) Restrict fluids</w:t>
      </w:r>
    </w:p>
    <w:p>
      <w:r>
        <w:t xml:space="preserve">(c) Give analgesics only</w:t>
      </w:r>
    </w:p>
    <w:p>
      <w:r>
        <w:t xml:space="preserve">(d) Send the patient home</w:t>
      </w:r>
    </w:p>
    <w:p>
      <w:r>
        <w:t xml:space="preserve">Answer: a</w:t>
      </w:r>
    </w:p>
    <w:p>
      <w:r>
        <w:t xml:space="preserve">Solution: Pyelonephritis — antibiotics, increased fluids, antipyretics, and monitoring of temperature/urine output. The nurse collects urine cultures and watches for sepsis.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in the latent phase of labor. The nurse should:</w:t>
      </w:r>
    </w:p>
    <w:p>
      <w:r>
        <w:t xml:space="preserve">(a) Encourage rest, fluids, and comfort measures</w:t>
      </w:r>
    </w:p>
    <w:p>
      <w:r>
        <w:t xml:space="preserve">(b) Rush the process</w:t>
      </w:r>
    </w:p>
    <w:p>
      <w:r>
        <w:t xml:space="preserve">(c) Give heavy meals</w:t>
      </w:r>
    </w:p>
    <w:p>
      <w:r>
        <w:t xml:space="preserve">(d) Restrict movement</w:t>
      </w:r>
    </w:p>
    <w:p>
      <w:r>
        <w:t xml:space="preserve">Answer: a</w:t>
      </w:r>
    </w:p>
    <w:p>
      <w:r>
        <w:t xml:space="preserve">Solution: Latent phase — rest, fluids, ambulation, and comfort measures conserve energy for active labor; the patient is reassessed as contractions progress.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diarrhea has some dehydration. The nurse should:</w:t>
      </w:r>
    </w:p>
    <w:p>
      <w:r>
        <w:t xml:space="preserve">(a) Give ORS 75 mL/kg over 4 hours</w:t>
      </w:r>
    </w:p>
    <w:p>
      <w:r>
        <w:t xml:space="preserve">(b) Give IV fluids immediately</w:t>
      </w:r>
    </w:p>
    <w:p>
      <w:r>
        <w:t xml:space="preserve">(c) Give plain water</w:t>
      </w:r>
    </w:p>
    <w:p>
      <w:r>
        <w:t xml:space="preserve">(d) Stop feeding</w:t>
      </w:r>
    </w:p>
    <w:p>
      <w:r>
        <w:t xml:space="preserve">Answer: a</w:t>
      </w:r>
    </w:p>
    <w:p>
      <w:r>
        <w:t xml:space="preserve">Solution: Some dehydration — ORS (Plan B) 75 mL/kg over 4 hours, with reassessment and continued feeding. IV fluids are for severe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in the depressive phase is being started on an antidepressant with a mood stabilizer. The nurse should explain that:</w:t>
      </w:r>
    </w:p>
    <w:p>
      <w:r>
        <w:t xml:space="preserve">(a) Antidepressants are combined with mood stabilizers to prevent mania</w:t>
      </w:r>
    </w:p>
    <w:p>
      <w:r>
        <w:t xml:space="preserve">(b) Antidepressants are given alone</w:t>
      </w:r>
    </w:p>
    <w:p>
      <w:r>
        <w:t xml:space="preserve">(c) Mood stabilizers are unnecessary</w:t>
      </w:r>
    </w:p>
    <w:p>
      <w:r>
        <w:t xml:space="preserve">(d) The drugs work instantly</w:t>
      </w:r>
    </w:p>
    <w:p>
      <w:r>
        <w:t xml:space="preserve">Answer: a</w:t>
      </w:r>
    </w:p>
    <w:p>
      <w:r>
        <w:t xml:space="preserve">Solution: In bipolar depression, antidepressants are used with a mood stabilizer/antipsychotic to treat depression without triggering mania — the nurse supports adherence and monitors mood.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tested for:</w:t>
      </w:r>
    </w:p>
    <w:p>
      <w:r>
        <w:t xml:space="preserve">(a) Quality, safety, and efficacy</w:t>
      </w:r>
    </w:p>
    <w:p>
      <w:r>
        <w:t xml:space="preserve">(b) Only color</w:t>
      </w:r>
    </w:p>
    <w:p>
      <w:r>
        <w:t xml:space="preserve">(c) Only taste</w:t>
      </w:r>
    </w:p>
    <w:p>
      <w:r>
        <w:t xml:space="preserve">(d) Nothing</w:t>
      </w:r>
    </w:p>
    <w:p>
      <w:r>
        <w:t xml:space="preserve">Answer: a</w:t>
      </w:r>
    </w:p>
    <w:p>
      <w:r>
        <w:t xml:space="preserve">Solution: Jan Aushadhi medicines undergo quality assurance — tested for quality, safety, and efficacy to ensure they meet standards.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0.15 mg of a medication. The vial contains 0.05 mg/mL. The volume to give is:</w:t>
      </w:r>
    </w:p>
    <w:p>
      <w:r>
        <w:t xml:space="preserve">(a) 1 mL</w:t>
      </w:r>
    </w:p>
    <w:p>
      <w:r>
        <w:t xml:space="preserve">(b) 2 mL</w:t>
      </w:r>
    </w:p>
    <w:p>
      <w:r>
        <w:t xml:space="preserve">(c) 3 mL</w:t>
      </w:r>
    </w:p>
    <w:p>
      <w:r>
        <w:t xml:space="preserve">(d) 4 mL</w:t>
      </w:r>
    </w:p>
    <w:p>
      <w:r>
        <w:t xml:space="preserve">Answer: c</w:t>
      </w:r>
    </w:p>
    <w:p>
      <w:r>
        <w:t xml:space="preserve">Solution: Volume = 0.15 ÷ 0.05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blood pressure reading is:</w:t>
      </w:r>
    </w:p>
    <w:p>
      <w:r>
        <w:t xml:space="preserve">(a) Less than 120/80 mmHg</w:t>
      </w:r>
    </w:p>
    <w:p>
      <w:r>
        <w:t xml:space="preserve">(b) 140/90 mmHg</w:t>
      </w:r>
    </w:p>
    <w:p>
      <w:r>
        <w:t xml:space="preserve">(c) 160/100 mmHg</w:t>
      </w:r>
    </w:p>
    <w:p>
      <w:r>
        <w:t xml:space="preserve">(d) 180/110 mmHg</w:t>
      </w:r>
    </w:p>
    <w:p>
      <w:r>
        <w:t xml:space="preserve">Answer: a</w:t>
      </w:r>
    </w:p>
    <w:p>
      <w:r>
        <w:t xml:space="preserve">Solution: Normal BP is &lt;120/80 mmHg. The nurse measures BP with a correct cuff and position for accurate readings.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in the emergent phase. The nurse should:</w:t>
      </w:r>
    </w:p>
    <w:p>
      <w:r>
        <w:t xml:space="preserve">(a) Maintain the airway, start IV fluids, and monitor urine output</w:t>
      </w:r>
    </w:p>
    <w:p>
      <w:r>
        <w:t xml:space="preserve">(b) Give oral fluids</w:t>
      </w:r>
    </w:p>
    <w:p>
      <w:r>
        <w:t xml:space="preserve">(c) Apply dressings only</w:t>
      </w:r>
    </w:p>
    <w:p>
      <w:r>
        <w:t xml:space="preserve">(d) Send the patient home</w:t>
      </w:r>
    </w:p>
    <w:p>
      <w:r>
        <w:t xml:space="preserve">Answer: a</w:t>
      </w:r>
    </w:p>
    <w:p>
      <w:r>
        <w:t xml:space="preserve">Solution: Emergent burn phase — airway/breathing management, IV fluid resuscitation (Parkland), urine output monitoring (30–50 mL/hr), and prevention of hypothermia and infection.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