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calcium level in an adult is:</w:t>
      </w:r>
    </w:p>
    <w:p>
      <w:r>
        <w:t xml:space="preserve">(a) 8.5–10.5 mg/dL</w:t>
      </w:r>
    </w:p>
    <w:p>
      <w:r>
        <w:t xml:space="preserve">(b) 4–6 mg/dL</w:t>
      </w:r>
    </w:p>
    <w:p>
      <w:r>
        <w:t xml:space="preserve">(c) 12–15 mg/dL</w:t>
      </w:r>
    </w:p>
    <w:p>
      <w:r>
        <w:t xml:space="preserve">(d) 18–20 mg/dL</w:t>
      </w:r>
    </w:p>
    <w:p>
      <w:r>
        <w:t xml:space="preserve">Answer: a</w:t>
      </w:r>
    </w:p>
    <w:p>
      <w:r>
        <w:t xml:space="preserve">Solution: Normal calcium is 8.5–10.5 mg/dL. Hypocalcemia causes tetany (Chvostek's/Trousseau's signs); hypercalcemia causes polyuria and arrhythmias.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stage 2 pressure injury. The nurse should:</w:t>
      </w:r>
    </w:p>
    <w:p>
      <w:r>
        <w:t xml:space="preserve">(a) Clean the wound, apply an appropriate dressing, and offload pressure</w:t>
      </w:r>
    </w:p>
    <w:p>
      <w:r>
        <w:t xml:space="preserve">(b) Leave the wound open</w:t>
      </w:r>
    </w:p>
    <w:p>
      <w:r>
        <w:t xml:space="preserve">(c) Rub the area vigorously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Stage 2 pressure injury — clean the wound, apply a moisture-retentive dressing, reposition/offload, and monitor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phosphorus control. The nurse should instruct the patient to:</w:t>
      </w:r>
    </w:p>
    <w:p>
      <w:r>
        <w:t xml:space="preserve">(a) Take phosphate binders with meals</w:t>
      </w:r>
    </w:p>
    <w:p>
      <w:r>
        <w:t xml:space="preserve">(b) Take them on an empty stomach</w:t>
      </w:r>
    </w:p>
    <w:p>
      <w:r>
        <w:t xml:space="preserve">(c) Skip the binders</w:t>
      </w:r>
    </w:p>
    <w:p>
      <w:r>
        <w:t xml:space="preserve">(d) Increase dairy intake</w:t>
      </w:r>
    </w:p>
    <w:p>
      <w:r>
        <w:t xml:space="preserve">Answer: a</w:t>
      </w:r>
    </w:p>
    <w:p>
      <w:r>
        <w:t xml:space="preserve">Solution: Phosphate binders are taken with meals to bind dietary phosphorus, preventing hyperphosphatemia and bone disease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reports painless vaginal bleeding. The nurse should:</w:t>
      </w:r>
    </w:p>
    <w:p>
      <w:r>
        <w:t xml:space="preserve">(a) Suspect placenta previa and avoid vaginal examination</w:t>
      </w:r>
    </w:p>
    <w:p>
      <w:r>
        <w:t xml:space="preserve">(b) Perform a vaginal examination</w:t>
      </w:r>
    </w:p>
    <w:p>
      <w:r>
        <w:t xml:space="preserve">(c) Give an enema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Painless third-trimester bleeding suggests placenta previa — vaginal examinations and enemas are contraindicated; the nurse monitors and prepares for possible cesarean.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with acute watery diarrhea has some dehydration. The nurse should:</w:t>
      </w:r>
    </w:p>
    <w:p>
      <w:r>
        <w:t xml:space="preserve">(a) Give ORS 75 mL/kg over 4 hours and reassess</w:t>
      </w:r>
    </w:p>
    <w:p>
      <w:r>
        <w:t xml:space="preserve">(b) Give IV fluids immediately</w:t>
      </w:r>
    </w:p>
    <w:p>
      <w:r>
        <w:t xml:space="preserve">(c) Give plain water</w:t>
      </w:r>
    </w:p>
    <w:p>
      <w:r>
        <w:t xml:space="preserve">(d) Stop breastfeeding</w:t>
      </w:r>
    </w:p>
    <w:p>
      <w:r>
        <w:t xml:space="preserve">Answer: a</w:t>
      </w:r>
    </w:p>
    <w:p>
      <w:r>
        <w:t xml:space="preserve">Solution: Some dehydration — ORS (Plan B) with reassessment after 4 hours;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tardive dyskinesia. Which finding is characteristic?</w:t>
      </w:r>
    </w:p>
    <w:p>
      <w:r>
        <w:t xml:space="preserve">(a) Involuntary lip smacking and tongue protrusion</w:t>
      </w:r>
    </w:p>
    <w:p>
      <w:r>
        <w:t xml:space="preserve">(b) Muscle rigidity only at onset</w:t>
      </w:r>
    </w:p>
    <w:p>
      <w:r>
        <w:t xml:space="preserve">(c) Hyperactivity</w:t>
      </w:r>
    </w:p>
    <w:p>
      <w:r>
        <w:t xml:space="preserve">(d) Blurred vision</w:t>
      </w:r>
    </w:p>
    <w:p>
      <w:r>
        <w:t xml:space="preserve">Answer: a</w:t>
      </w:r>
    </w:p>
    <w:p>
      <w:r>
        <w:t xml:space="preserve">Solution: Tardive dyskinesia — late, often irreversible, involuntary movements (lip smacking, tongue thrusting, grimacing) from long-term antipsychotics — assessed with the AIMS scale.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to:</w:t>
      </w:r>
    </w:p>
    <w:p>
      <w:r>
        <w:t xml:space="preserve">(a) Provide affordable generic medicines to all</w:t>
      </w:r>
    </w:p>
    <w:p>
      <w:r>
        <w:t xml:space="preserve">(b) Increase drug prices</w:t>
      </w:r>
    </w:p>
    <w:p>
      <w:r>
        <w:t xml:space="preserve">(c) Restrict medicine access</w:t>
      </w:r>
    </w:p>
    <w:p>
      <w:r>
        <w:t xml:space="preserve">(d) Promote imported medicines</w:t>
      </w:r>
    </w:p>
    <w:p>
      <w:r>
        <w:t xml:space="preserve">Answer: a</w:t>
      </w:r>
    </w:p>
    <w:p>
      <w:r>
        <w:t xml:space="preserve">Solution: Jan Aushadhi Kendras make quality generic medicines affordable — reducing out-of-pocket health costs.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27 mg of a medication. The vial contains 9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27 ÷ 9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lungs is:</w:t>
      </w:r>
    </w:p>
    <w:p>
      <w:r>
        <w:t xml:space="preserve">(a) Gas exchange (oxygen in, carbon dioxide out)</w:t>
      </w:r>
    </w:p>
    <w:p>
      <w:r>
        <w:t xml:space="preserve">(b) Digestion</w:t>
      </w:r>
    </w:p>
    <w:p>
      <w:r>
        <w:t xml:space="preserve">(c) Circulation of blood</w:t>
      </w:r>
    </w:p>
    <w:p>
      <w:r>
        <w:t xml:space="preserve">(d) Filtration of urine</w:t>
      </w:r>
    </w:p>
    <w:p>
      <w:r>
        <w:t xml:space="preserve">Answer: a</w:t>
      </w:r>
    </w:p>
    <w:p>
      <w:r>
        <w:t xml:space="preserve">Solution: The lungs exchange oxygen and carbon dioxide across the alveoli — oxygenating blood and removing CO2.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in a cast is being discharged. The nurse should teach the patient to:</w:t>
      </w:r>
    </w:p>
    <w:p>
      <w:r>
        <w:t xml:space="preserve">(a) Report severe pain, numbness, or discoloration of the toes</w:t>
      </w:r>
    </w:p>
    <w:p>
      <w:r>
        <w:t xml:space="preserve">(b) Remove the cast in water</w:t>
      </w:r>
    </w:p>
    <w:p>
      <w:r>
        <w:t xml:space="preserve">(c) Scratch under the cast</w:t>
      </w:r>
    </w:p>
    <w:p>
      <w:r>
        <w:t xml:space="preserve">(d) Bear weight immediately</w:t>
      </w:r>
    </w:p>
    <w:p>
      <w:r>
        <w:t xml:space="preserve">Answer: a</w:t>
      </w:r>
    </w:p>
    <w:p>
      <w:r>
        <w:t xml:space="preserve">Solution: Cast care — report neurovascular changes, keep the cast dry, avoid inserting objects, and follow weight-bearing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 xml:space="preserve">(a) 135–145 mEq/L</w:t>
      </w:r>
    </w:p>
    <w:p>
      <w:r>
        <w:t xml:space="preserve">(b) 115–125 mEq/L</w:t>
      </w:r>
    </w:p>
    <w:p>
      <w:r>
        <w:t xml:space="preserve">(c) 155–165 mEq/L</w:t>
      </w:r>
    </w:p>
    <w:p>
      <w:r>
        <w:t xml:space="preserve">(d) 170–180 mEq/L</w:t>
      </w:r>
    </w:p>
    <w:p>
      <w:r>
        <w:t xml:space="preserve">Answer: a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wound infection. The nurse should:</w:t>
      </w:r>
    </w:p>
    <w:p>
      <w:r>
        <w:t xml:space="preserve">(a) Use aseptic technique, collect cultures, and administer antibiotics as ordered</w:t>
      </w:r>
    </w:p>
    <w:p>
      <w:r>
        <w:t xml:space="preserve">(b) Reuse dirty dressings</w:t>
      </w:r>
    </w:p>
    <w:p>
      <w:r>
        <w:t xml:space="preserve">(c) Skip hand hygiene</w:t>
      </w:r>
    </w:p>
    <w:p>
      <w:r>
        <w:t xml:space="preserve">(d) Ignore the infection</w:t>
      </w:r>
    </w:p>
    <w:p>
      <w:r>
        <w:t xml:space="preserve">Answer: a</w:t>
      </w:r>
    </w:p>
    <w:p>
      <w:r>
        <w:t xml:space="preserve">Solution: Wound infection — aseptic wound care, cultures before antibiotics, prescribed antimicrobials, and monitoring of systemic signs (fever).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is being treated. The nurse should:</w:t>
      </w:r>
    </w:p>
    <w:p>
      <w:r>
        <w:t xml:space="preserve">(a) Monitor temperature, urine output, and response to antibiotics</w:t>
      </w:r>
    </w:p>
    <w:p>
      <w:r>
        <w:t xml:space="preserve">(b) Restrict fluids</w:t>
      </w:r>
    </w:p>
    <w:p>
      <w:r>
        <w:t xml:space="preserve">(c) Give analgesics only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Pyelonephritis — antibiotics, fluids, antipyretics, and monitoring of temperature, urine output, and signs of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well-being. A reactive non-stress test indicates:</w:t>
      </w:r>
    </w:p>
    <w:p>
      <w:r>
        <w:t xml:space="preserve">(a) Fetal well-being (accelerations present)</w:t>
      </w:r>
    </w:p>
    <w:p>
      <w:r>
        <w:t xml:space="preserve">(b) Fetal distress</w:t>
      </w:r>
    </w:p>
    <w:p>
      <w:r>
        <w:t xml:space="preserve">(c) The test was not performed</w:t>
      </w:r>
    </w:p>
    <w:p>
      <w:r>
        <w:t xml:space="preserve">(d) Contractions are absent only</w:t>
      </w:r>
    </w:p>
    <w:p>
      <w:r>
        <w:t xml:space="preserve">Answer: a</w:t>
      </w:r>
    </w:p>
    <w:p>
      <w:r>
        <w:t xml:space="preserve">Solution: A reactive NST — two or more FHR accelerations (≥15 bpm for ≥15 seconds) in 20–40 minutes — indicates fetal well-being.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urinary tract infection is being discharged. The nurse should teach the parents to:</w:t>
      </w:r>
    </w:p>
    <w:p>
      <w:r>
        <w:t xml:space="preserve">(a) Complete the antibiotic course and encourage fluids</w:t>
      </w:r>
    </w:p>
    <w:p>
      <w:r>
        <w:t xml:space="preserve">(b) Stop antibiotics early</w:t>
      </w:r>
    </w:p>
    <w:p>
      <w:r>
        <w:t xml:space="preserve">(c) Skip follow-up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Pediatric UTI — full antibiotics, fluids, and follow-up prevent recurrence and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in the manic phase and is being discharged. The nurse should teach the patient to:</w:t>
      </w:r>
    </w:p>
    <w:p>
      <w:r>
        <w:t xml:space="preserve">(a) Report early signs of mania and maintain medication adherence</w:t>
      </w:r>
    </w:p>
    <w:p>
      <w:r>
        <w:t xml:space="preserve">(b) Stop the mood stabilizer</w:t>
      </w:r>
    </w:p>
    <w:p>
      <w:r>
        <w:t xml:space="preserve">(c) Skip follow-up</w:t>
      </w:r>
    </w:p>
    <w:p>
      <w:r>
        <w:t xml:space="preserve">(d) Increase stimulation</w:t>
      </w:r>
    </w:p>
    <w:p>
      <w:r>
        <w:t xml:space="preserve">Answer: a</w:t>
      </w:r>
    </w:p>
    <w:p>
      <w:r>
        <w:t xml:space="preserve">Solution: Mania relapse prevention — the patient reports early signs (decreased sleep, impulsivity) and continues the mood stabilizer with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are:</w:t>
      </w:r>
    </w:p>
    <w:p>
      <w:r>
        <w:t xml:space="preserve">(a) Bioequivalent generics at low cost</w:t>
      </w:r>
    </w:p>
    <w:p>
      <w:r>
        <w:t xml:space="preserve">(b) Expired medicines</w:t>
      </w:r>
    </w:p>
    <w:p>
      <w:r>
        <w:t xml:space="preserve">(c) Placebos</w:t>
      </w:r>
    </w:p>
    <w:p>
      <w:r>
        <w:t xml:space="preserve">(d) Samples only</w:t>
      </w:r>
    </w:p>
    <w:p>
      <w:r>
        <w:t xml:space="preserve">Answer: a</w:t>
      </w:r>
    </w:p>
    <w:p>
      <w:r>
        <w:t xml:space="preserve">Solution: Jan Aushadhi medicines are quality generic equivalents — bioequivalent to branded drugs at much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0.75 mg of a medication. The vial contains 0.25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0.75 ÷ 0.25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at rest is:</w:t>
      </w:r>
    </w:p>
    <w:p>
      <w:r>
        <w:t xml:space="preserve">(a) 60–100 beats per minute</w:t>
      </w:r>
    </w:p>
    <w:p>
      <w:r>
        <w:t xml:space="preserve">(b) 20–40 beats per minute</w:t>
      </w:r>
    </w:p>
    <w:p>
      <w:r>
        <w:t xml:space="preserve">(c) 120–160 beats per minute</w:t>
      </w:r>
    </w:p>
    <w:p>
      <w:r>
        <w:t xml:space="preserve">(d) 160–200 beats per minute</w:t>
      </w:r>
    </w:p>
    <w:p>
      <w:r>
        <w:t xml:space="preserve">Answer: a</w:t>
      </w:r>
    </w:p>
    <w:p>
      <w:r>
        <w:t xml:space="preserve">Solution: Normal adult resting heart rate is 60–100 bpm.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pain. The nurse should:</w:t>
      </w:r>
    </w:p>
    <w:p>
      <w:r>
        <w:t xml:space="preserve">(a) Assess and manage pain with analgesics as ordered</w:t>
      </w:r>
    </w:p>
    <w:p>
      <w:r>
        <w:t xml:space="preserve">(b) Ignore the pain</w:t>
      </w:r>
    </w:p>
    <w:p>
      <w:r>
        <w:t xml:space="preserve">(c) Give no medication</w:t>
      </w:r>
    </w:p>
    <w:p>
      <w:r>
        <w:t xml:space="preserve">(d) Wait for the patient to ask repeatedly</w:t>
      </w:r>
    </w:p>
    <w:p>
      <w:r>
        <w:t xml:space="preserve">Answer: a</w:t>
      </w:r>
    </w:p>
    <w:p>
      <w:r>
        <w:t xml:space="preserve">Solution: Burn pain is severe — the nurse assesses pain regularly and administers analgesics (opioids, often IV) as ordered, along with non-pharmacological comfort.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