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creatinine level in an adult male is:</w:t>
      </w:r>
    </w:p>
    <w:p>
      <w:r>
        <w:t xml:space="preserve">(a) 0.6–1.2 mg/dL</w:t>
      </w:r>
    </w:p>
    <w:p>
      <w:r>
        <w:t xml:space="preserve">(b) 2–4 mg/dL</w:t>
      </w:r>
    </w:p>
    <w:p>
      <w:r>
        <w:t xml:space="preserve">(c) 5–8 mg/dL</w:t>
      </w:r>
    </w:p>
    <w:p>
      <w:r>
        <w:t xml:space="preserve">(d) 10–15 mg/dL</w:t>
      </w:r>
    </w:p>
    <w:p>
      <w:r>
        <w:t xml:space="preserve">Answer: a</w:t>
      </w:r>
    </w:p>
    <w:p>
      <w:r>
        <w:t xml:space="preserve">Solution: Normal creatinine is 0.6–1.2 mg/dL in men — reflecting renal function; rising levels indicate declining GFR.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urinary catheter. Which action is correct?</w:t>
      </w:r>
    </w:p>
    <w:p>
      <w:r>
        <w:t xml:space="preserve">(a) Keep the drainage bag below the bladder with the tubing free of kinks</w:t>
      </w:r>
    </w:p>
    <w:p>
      <w:r>
        <w:t xml:space="preserve">(b) Raise the bag above the bladder</w:t>
      </w:r>
    </w:p>
    <w:p>
      <w:r>
        <w:t xml:space="preserve">(c) Let the bag touch the floor</w:t>
      </w:r>
    </w:p>
    <w:p>
      <w:r>
        <w:t xml:space="preserve">(d) Open the closed system</w:t>
      </w:r>
    </w:p>
    <w:p>
      <w:r>
        <w:t xml:space="preserve">Answer: a</w:t>
      </w:r>
    </w:p>
    <w:p>
      <w:r>
        <w:t xml:space="preserve">Solution: Catheter care — the bag is kept below the bladder, tubing free of kinks, and the closed system maintained to prevent CAUTI.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hypothyroidism is being taught about levothyroxine. The nurse should instruct the patient to:</w:t>
      </w:r>
    </w:p>
    <w:p>
      <w:r>
        <w:t xml:space="preserve">(a) Take it on an empty stomach in the morning</w:t>
      </w:r>
    </w:p>
    <w:p>
      <w:r>
        <w:t xml:space="preserve">(b) Take it with milk</w:t>
      </w:r>
    </w:p>
    <w:p>
      <w:r>
        <w:t xml:space="preserve">(c) Take it with iron</w:t>
      </w:r>
    </w:p>
    <w:p>
      <w:r>
        <w:t xml:space="preserve">(d) Skip doses</w:t>
      </w:r>
    </w:p>
    <w:p>
      <w:r>
        <w:t xml:space="preserve">Answer: a</w:t>
      </w:r>
    </w:p>
    <w:p>
      <w:r>
        <w:t xml:space="preserve">Solution: Levothyroxine is taken on an empty stomach (30–60 min before breakfast) — food, calcium, iron, and antacids reduce absorption.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39 weeks of gestation is in the second stage of labor. The nurse should:</w:t>
      </w:r>
    </w:p>
    <w:p>
      <w:r>
        <w:t xml:space="preserve">(a) Coach pushing and monitor the fetal heart rate</w:t>
      </w:r>
    </w:p>
    <w:p>
      <w:r>
        <w:t xml:space="preserve">(b) Restrict pushing</w:t>
      </w:r>
    </w:p>
    <w:p>
      <w:r>
        <w:t xml:space="preserve">(c) Give sedatives</w:t>
      </w:r>
    </w:p>
    <w:p>
      <w:r>
        <w:t xml:space="preserve">(d) Send the patient for a walk</w:t>
      </w:r>
    </w:p>
    <w:p>
      <w:r>
        <w:t xml:space="preserve">Answer: a</w:t>
      </w:r>
    </w:p>
    <w:p>
      <w:r>
        <w:t xml:space="preserve">Solution: Second stage — the nurse coaches effective pushing, monitors the FHR between contractions, supports the perineum, and prepares for delivery.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6-month-old infant with bronchiolitis is being assessed. Which finding indicates respiratory distress?</w:t>
      </w:r>
    </w:p>
    <w:p>
      <w:r>
        <w:t xml:space="preserve">(a) Nasal flaring, chest retractions, and grunting</w:t>
      </w:r>
    </w:p>
    <w:p>
      <w:r>
        <w:t xml:space="preserve">(b) Normal breathing</w:t>
      </w:r>
    </w:p>
    <w:p>
      <w:r>
        <w:t xml:space="preserve">(c) Mild cough only</w:t>
      </w:r>
    </w:p>
    <w:p>
      <w:r>
        <w:t xml:space="preserve">(d) Clear nose</w:t>
      </w:r>
    </w:p>
    <w:p>
      <w:r>
        <w:t xml:space="preserve">Answer: a</w:t>
      </w:r>
    </w:p>
    <w:p>
      <w:r>
        <w:t xml:space="preserve">Solution: Respiratory distress in bronchiolitis — nasal flaring, intercostal/subcostal retractions, grunting, and tachypnea — requires oxygen and monitoring.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obsessive-compulsive disorder is being taught about ERP. The nurse should explain that the "response prevention" part means:</w:t>
      </w:r>
    </w:p>
    <w:p>
      <w:r>
        <w:t xml:space="preserve">(a) Resisting the ritual after exposure to the trigger</w:t>
      </w:r>
    </w:p>
    <w:p>
      <w:r>
        <w:t xml:space="preserve">(b) Avoiding the trigger</w:t>
      </w:r>
    </w:p>
    <w:p>
      <w:r>
        <w:t xml:space="preserve">(c) Performing the ritual more</w:t>
      </w:r>
    </w:p>
    <w:p>
      <w:r>
        <w:t xml:space="preserve">(d) Medication only</w:t>
      </w:r>
    </w:p>
    <w:p>
      <w:r>
        <w:t xml:space="preserve">Answer: a</w:t>
      </w:r>
    </w:p>
    <w:p>
      <w:r>
        <w:t xml:space="preserve">Solution: In ERP, the patient is exposed to the anxiety trigger and refrains from the ritual — breaking the obsession-anxiety-ritual cycle.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was launched to make medicines:</w:t>
      </w:r>
    </w:p>
    <w:p>
      <w:r>
        <w:t xml:space="preserve">(a) Affordable for all citizens</w:t>
      </w:r>
    </w:p>
    <w:p>
      <w:r>
        <w:t xml:space="preserve">(b) Costlier</w:t>
      </w:r>
    </w:p>
    <w:p>
      <w:r>
        <w:t xml:space="preserve">(c) Scarce</w:t>
      </w:r>
    </w:p>
    <w:p>
      <w:r>
        <w:t xml:space="preserve">(d) Import-only</w:t>
      </w:r>
    </w:p>
    <w:p>
      <w:r>
        <w:t xml:space="preserve">Answer: a</w:t>
      </w:r>
    </w:p>
    <w:p>
      <w:r>
        <w:t xml:space="preserve">Solution: PMBJP makes essential generic medicines affordable — a key initiative for accessible healthcare.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105 mg of a medication. The vial contains 35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b</w:t>
      </w:r>
    </w:p>
    <w:p>
      <w:r>
        <w:t xml:space="preserve">Solution: Volume = 105 ÷ 35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respiratory rate at rest is:</w:t>
      </w:r>
    </w:p>
    <w:p>
      <w:r>
        <w:t xml:space="preserve">(a) 12–20 breaths per minute</w:t>
      </w:r>
    </w:p>
    <w:p>
      <w:r>
        <w:t xml:space="preserve">(b) 30–40 breaths per minute</w:t>
      </w:r>
    </w:p>
    <w:p>
      <w:r>
        <w:t xml:space="preserve">(c) 4–6 breaths per minute</w:t>
      </w:r>
    </w:p>
    <w:p>
      <w:r>
        <w:t xml:space="preserve">(d) 50–60 breaths per minute</w:t>
      </w:r>
    </w:p>
    <w:p>
      <w:r>
        <w:t xml:space="preserve">Answer: a</w:t>
      </w:r>
    </w:p>
    <w:p>
      <w:r>
        <w:t xml:space="preserve">Solution: Normal adult respiratory rate is 12–20 breaths/min.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has the water seal chamber with no fluctuation. The nurse should:</w:t>
      </w:r>
    </w:p>
    <w:p>
      <w:r>
        <w:t xml:space="preserve">(a) Assess for tube blockage or lung re-expansion</w:t>
      </w:r>
    </w:p>
    <w:p>
      <w:r>
        <w:t xml:space="preserve">(b) Ignore it</w:t>
      </w:r>
    </w:p>
    <w:p>
      <w:r>
        <w:t xml:space="preserve">(c) Clamp the tube</w:t>
      </w:r>
    </w:p>
    <w:p>
      <w:r>
        <w:t xml:space="preserve">(d) Disconnect the suction</w:t>
      </w:r>
    </w:p>
    <w:p>
      <w:r>
        <w:t xml:space="preserve">Answer: a</w:t>
      </w:r>
    </w:p>
    <w:p>
      <w:r>
        <w:t xml:space="preserve">Solution: Absent fluctuation in the water seal may indicate tube occlusion (kink, clot) or full lung expansion — the nurse checks the tubing and correlates with breath sounds/X-ray.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total protein level is:</w:t>
      </w:r>
    </w:p>
    <w:p>
      <w:r>
        <w:t xml:space="preserve">(a) 6–8 g/dL</w:t>
      </w:r>
    </w:p>
    <w:p>
      <w:r>
        <w:t xml:space="preserve">(b) 2–3 g/dL</w:t>
      </w:r>
    </w:p>
    <w:p>
      <w:r>
        <w:t xml:space="preserve">(c) 10–12 g/dL</w:t>
      </w:r>
    </w:p>
    <w:p>
      <w:r>
        <w:t xml:space="preserve">(d) 15–18 g/dL</w:t>
      </w:r>
    </w:p>
    <w:p>
      <w:r>
        <w:t xml:space="preserve">Answer: a</w:t>
      </w:r>
    </w:p>
    <w:p>
      <w:r>
        <w:t xml:space="preserve">Solution: Normal total protein is 6–8 g/dL (albumin 3.5–5 + globulin 2–3.5 g/dL).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colostomy. Which statement indicates correct understanding of pouch care?</w:t>
      </w:r>
    </w:p>
    <w:p>
      <w:r>
        <w:t xml:space="preserve">(a) "I will empty the pouch when it is one-third to half full."</w:t>
      </w:r>
    </w:p>
    <w:p>
      <w:r>
        <w:t xml:space="preserve">(b) "I will leave it until it leaks."</w:t>
      </w:r>
    </w:p>
    <w:p>
      <w:r>
        <w:t xml:space="preserve">(c) "I will scrub the stoma with alcohol."</w:t>
      </w:r>
    </w:p>
    <w:p>
      <w:r>
        <w:t xml:space="preserve">(d) "I will change the pouch daily regardless."</w:t>
      </w:r>
    </w:p>
    <w:p>
      <w:r>
        <w:t xml:space="preserve">Answer: a</w:t>
      </w:r>
    </w:p>
    <w:p>
      <w:r>
        <w:t xml:space="preserve">Solution: The pouch is emptied when one-third to half full to prevent leakage; the stoma is cleaned gently with warm water; changing frequency depends on the pouch type.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pancreatitis is being managed. The nurse should:</w:t>
      </w:r>
    </w:p>
    <w:p>
      <w:r>
        <w:t xml:space="preserve">(a) Keep the patient NPO, give IV fluids, and monitor enzymes</w:t>
      </w:r>
    </w:p>
    <w:p>
      <w:r>
        <w:t xml:space="preserve">(b) Give a high-fat meal</w:t>
      </w:r>
    </w:p>
    <w:p>
      <w:r>
        <w:t xml:space="preserve">(c) Give oral fluids</w:t>
      </w:r>
    </w:p>
    <w:p>
      <w:r>
        <w:t xml:space="preserve">(d) Skip monitoring</w:t>
      </w:r>
    </w:p>
    <w:p>
      <w:r>
        <w:t xml:space="preserve">Answer: a</w:t>
      </w:r>
    </w:p>
    <w:p>
      <w:r>
        <w:t xml:space="preserve">Solution: Acute pancreatitis — NPO (pancreatic rest), IV fluids, analgesia, and monitoring of amylase/lipase and electrolytes.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33 weeks of gestation is diagnosed with gestational diabetes. The nurse should teach the patient that:</w:t>
      </w:r>
    </w:p>
    <w:p>
      <w:r>
        <w:t xml:space="preserve">(a) Blood glucose control reduces risks to mother and baby</w:t>
      </w:r>
    </w:p>
    <w:p>
      <w:r>
        <w:t xml:space="preserve">(b) Diet is irrelevant</w:t>
      </w:r>
    </w:p>
    <w:p>
      <w:r>
        <w:t xml:space="preserve">(c) Monitoring is unnecessary</w:t>
      </w:r>
    </w:p>
    <w:p>
      <w:r>
        <w:t xml:space="preserve">(d) Insulin always harms the baby</w:t>
      </w:r>
    </w:p>
    <w:p>
      <w:r>
        <w:t xml:space="preserve">Answer: a</w:t>
      </w:r>
    </w:p>
    <w:p>
      <w:r>
        <w:t xml:space="preserve">Solution: GDM — glucose control through diet, exercise, and (if needed) insulin reduces macrosomia and neonatal complications. The nurse teaches monitoring and follow-up.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croup has a barking cough. The nurse should:</w:t>
      </w:r>
    </w:p>
    <w:p>
      <w:r>
        <w:t xml:space="preserve">(a) Keep the child calm and offer cool mist</w:t>
      </w:r>
    </w:p>
    <w:p>
      <w:r>
        <w:t xml:space="preserve">(b) Make the child cry</w:t>
      </w:r>
    </w:p>
    <w:p>
      <w:r>
        <w:t xml:space="preserve">(c) Give cough syrup</w:t>
      </w:r>
    </w:p>
    <w:p>
      <w:r>
        <w:t xml:space="preserve">(d) Position the child flat</w:t>
      </w:r>
    </w:p>
    <w:p>
      <w:r>
        <w:t xml:space="preserve">Answer: a</w:t>
      </w:r>
    </w:p>
    <w:p>
      <w:r>
        <w:t xml:space="preserve">Solution: Croup — keeping the child calm (crying worsens airway edema), cool mist, and monitoring for stridor/respiratory distress.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being prescribed an SSRI. Which side effect may occur early in treatment?</w:t>
      </w:r>
    </w:p>
    <w:p>
      <w:r>
        <w:t xml:space="preserve">(a) Nausea and headache</w:t>
      </w:r>
    </w:p>
    <w:p>
      <w:r>
        <w:t xml:space="preserve">(b) Hyperkalemia</w:t>
      </w:r>
    </w:p>
    <w:p>
      <w:r>
        <w:t xml:space="preserve">(c) Bradycardia</w:t>
      </w:r>
    </w:p>
    <w:p>
      <w:r>
        <w:t xml:space="preserve">(d) Constipation only</w:t>
      </w:r>
    </w:p>
    <w:p>
      <w:r>
        <w:t xml:space="preserve">Answer: a</w:t>
      </w:r>
    </w:p>
    <w:p>
      <w:r>
        <w:t xml:space="preserve">Solution: Early SSRI side effects — nausea, headache, insomnia/sedation — usually subside within weeks; the nurse supports adherence during the initial period.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outlets are located:</w:t>
      </w:r>
    </w:p>
    <w:p>
      <w:r>
        <w:t xml:space="preserve">(a) Across India including hospitals and public places</w:t>
      </w:r>
    </w:p>
    <w:p>
      <w:r>
        <w:t xml:space="preserve">(b) Only in one city</w:t>
      </w:r>
    </w:p>
    <w:p>
      <w:r>
        <w:t xml:space="preserve">(c) Only abroad</w:t>
      </w:r>
    </w:p>
    <w:p>
      <w:r>
        <w:t xml:space="preserve">(d) Only in factories</w:t>
      </w:r>
    </w:p>
    <w:p>
      <w:r>
        <w:t xml:space="preserve">Answer: a</w:t>
      </w:r>
    </w:p>
    <w:p>
      <w:r>
        <w:t xml:space="preserve">Solution: Jan Aushadhi Kendras are set up across India — in hospitals, clinics, and public places — expanding affordable medicine access.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0.45 g of a medication. The vial contains 150 mg/mL. The volume to give is:</w:t>
      </w:r>
    </w:p>
    <w:p>
      <w:r>
        <w:t xml:space="preserve">(a) 2 mL</w:t>
      </w:r>
    </w:p>
    <w:p>
      <w:r>
        <w:t xml:space="preserve">(b) 3 mL</w:t>
      </w:r>
    </w:p>
    <w:p>
      <w:r>
        <w:t xml:space="preserve">(c) 4 mL</w:t>
      </w:r>
    </w:p>
    <w:p>
      <w:r>
        <w:t xml:space="preserve">(d) 5 mL</w:t>
      </w:r>
    </w:p>
    <w:p>
      <w:r>
        <w:t xml:space="preserve">Answer: b</w:t>
      </w:r>
    </w:p>
    <w:p>
      <w:r>
        <w:t xml:space="preserve">Solution: 0.45 g = 450 mg. Volume = 450 ÷ 150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temperature (oral) is:</w:t>
      </w:r>
    </w:p>
    <w:p>
      <w:r>
        <w:t xml:space="preserve">(a) 36.5–37.5°C</w:t>
      </w:r>
    </w:p>
    <w:p>
      <w:r>
        <w:t xml:space="preserve">(b) 39–40°C</w:t>
      </w:r>
    </w:p>
    <w:p>
      <w:r>
        <w:t xml:space="preserve">(c) 34–35°C</w:t>
      </w:r>
    </w:p>
    <w:p>
      <w:r>
        <w:t xml:space="preserve">(d) 42°C</w:t>
      </w:r>
    </w:p>
    <w:p>
      <w:r>
        <w:t xml:space="preserve">Answer: a</w:t>
      </w:r>
    </w:p>
    <w:p>
      <w:r>
        <w:t xml:space="preserve">Solution: Normal oral temperature is 36.5–37.5°C; fever is ≥38°C.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is at risk for DVT. The nurse should:</w:t>
      </w:r>
    </w:p>
    <w:p>
      <w:r>
        <w:t xml:space="preserve">(a) Encourage leg exercises and use compression devices as ordered</w:t>
      </w:r>
    </w:p>
    <w:p>
      <w:r>
        <w:t xml:space="preserve">(b) Massage the calves</w:t>
      </w:r>
    </w:p>
    <w:p>
      <w:r>
        <w:t xml:space="preserve">(c) Immobilize completely</w:t>
      </w:r>
    </w:p>
    <w:p>
      <w:r>
        <w:t xml:space="preserve">(d) Restrict fluids</w:t>
      </w:r>
    </w:p>
    <w:p>
      <w:r>
        <w:t xml:space="preserve">Answer: a</w:t>
      </w:r>
    </w:p>
    <w:p>
      <w:r>
        <w:t xml:space="preserve">Solution: DVT prevention in traction — leg exercises (ankle pumps), early mobility when possible, and pneumatic compression/anticoagulants as ordered. The calves are never massaged.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