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no dehydration. The nurse should teach the mother to:</w:t>
      </w:r>
    </w:p>
    <w:p>
      <w:r>
        <w:t xml:space="preserve">(a) Give ORS after each loose stool and continue feeding</w:t>
      </w:r>
    </w:p>
    <w:p>
      <w:r>
        <w:t xml:space="preserve">(b) Give IV fluids</w:t>
      </w:r>
    </w:p>
    <w:p>
      <w:r>
        <w:t xml:space="preserve">(c) Stop feeding</w:t>
      </w:r>
    </w:p>
    <w:p>
      <w:r>
        <w:t xml:space="preserve">(d) Give antidiarrheals</w:t>
      </w:r>
    </w:p>
    <w:p>
      <w:r>
        <w:t xml:space="preserve">Answer: a</w:t>
      </w:r>
    </w:p>
    <w:p>
      <w:r>
        <w:t xml:space="preserve">Solution: Plan A (no dehydration) — ORS (~10 mL/kg) after each loose stool, extra fluids, continued feeding, and advice on when to return.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action is performed to prevent surgical site infection?</w:t>
      </w:r>
    </w:p>
    <w:p>
      <w:r>
        <w:t xml:space="preserve">(a) Pre-operative shower/bathing and aseptic skin preparation</w:t>
      </w:r>
    </w:p>
    <w:p>
      <w:r>
        <w:t xml:space="preserve">(b) Shaving the site the night before routinely</w:t>
      </w:r>
    </w:p>
    <w:p>
      <w:r>
        <w:t xml:space="preserve">(c) Skipping hygiene</w:t>
      </w:r>
    </w:p>
    <w:p>
      <w:r>
        <w:t xml:space="preserve">(d) Removing the dressing early</w:t>
      </w:r>
    </w:p>
    <w:p>
      <w:r>
        <w:t xml:space="preserve">Answer: a</w:t>
      </w:r>
    </w:p>
    <w:p>
      <w:r>
        <w:t xml:space="preserve">Solution: SSI prevention — pre-operative shower, appropriate skin antisepsis, prophylactic antibiotics, and aseptic technique. Routine pre-op shaving is avoided (micro-abrasions).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assessed for involution. On day 3, the fundus is expected to be:</w:t>
      </w:r>
    </w:p>
    <w:p>
      <w:r>
        <w:t xml:space="preserve">(a) About 3 fingerbreadths below the umbilicus</w:t>
      </w:r>
    </w:p>
    <w:p>
      <w:r>
        <w:t xml:space="preserve">(b) At the umbilicus</w:t>
      </w:r>
    </w:p>
    <w:p>
      <w:r>
        <w:t xml:space="preserve">(c) At the xiphisternum</w:t>
      </w:r>
    </w:p>
    <w:p>
      <w:r>
        <w:t xml:space="preserve">(d) Not palpable</w:t>
      </w:r>
    </w:p>
    <w:p>
      <w:r>
        <w:t xml:space="preserve">Answer: a</w:t>
      </w:r>
    </w:p>
    <w:p>
      <w:r>
        <w:t xml:space="preserve">Solution: The fundus descends about 1 cm/day — day 1 at umbilicus, day 3 about 3 cm (fingerbreadths) below. A high, boggy fundus suggests subinvolution.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burn injury is being assessed for the extent of the burn. The nurse uses the modified rule of nines. The child's head and neck represent:</w:t>
      </w:r>
    </w:p>
    <w:p>
      <w:r>
        <w:t xml:space="preserve">(a) About 18% (larger in children than adults)</w:t>
      </w:r>
    </w:p>
    <w:p>
      <w:r>
        <w:t xml:space="preserve">(b) 9%</w:t>
      </w:r>
    </w:p>
    <w:p>
      <w:r>
        <w:t xml:space="preserve">(c) 27%</w:t>
      </w:r>
    </w:p>
    <w:p>
      <w:r>
        <w:t xml:space="preserve">(d) 36%</w:t>
      </w:r>
    </w:p>
    <w:p>
      <w:r>
        <w:t xml:space="preserve">Answer: a</w:t>
      </w:r>
    </w:p>
    <w:p>
      <w:r>
        <w:t xml:space="preserve">Solution: In children, the head is proportionally larger — about 18% TBSA in young children (9% in adults). The modified rule of nines accounts for age differences.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relaxation. Which statement indicates correct understanding?</w:t>
      </w:r>
    </w:p>
    <w:p>
      <w:r>
        <w:t xml:space="preserve">(a) "I will practice deep breathing daily, not just during anxiety."</w:t>
      </w:r>
    </w:p>
    <w:p>
      <w:r>
        <w:t xml:space="preserve">(b) "I will only breathe deeply during panic attacks."</w:t>
      </w:r>
    </w:p>
    <w:p>
      <w:r>
        <w:t xml:space="preserve">(c) "Relaxation does not help."</w:t>
      </w:r>
    </w:p>
    <w:p>
      <w:r>
        <w:t xml:space="preserve">(d) "I should avoid all activity."</w:t>
      </w:r>
    </w:p>
    <w:p>
      <w:r>
        <w:t xml:space="preserve">Answer: a</w:t>
      </w:r>
    </w:p>
    <w:p>
      <w:r>
        <w:t xml:space="preserve">Solution: Regular daily practice of relaxation techniques builds the skill — making it effective when anxiety arises.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 measure to:</w:t>
      </w:r>
    </w:p>
    <w:p>
      <w:r>
        <w:t xml:space="preserve">(a) Ensure medicine affordability</w:t>
      </w:r>
    </w:p>
    <w:p>
      <w:r>
        <w:t xml:space="preserve">(b) Increase drug prices</w:t>
      </w:r>
    </w:p>
    <w:p>
      <w:r>
        <w:t xml:space="preserve">(c) Restrict medicine access</w:t>
      </w:r>
    </w:p>
    <w:p>
      <w:r>
        <w:t xml:space="preserve">(d) Promote only imported drugs</w:t>
      </w:r>
    </w:p>
    <w:p>
      <w:r>
        <w:t xml:space="preserve">Answer: a</w:t>
      </w:r>
    </w:p>
    <w:p>
      <w:r>
        <w:t xml:space="preserve">Solution: Jan Aushadhi Kendras ensure medicine affordability — a key public health initiative.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85 mg of a medication. The vial contains 34 mg/mL. The volume to give is:</w:t>
      </w:r>
    </w:p>
    <w:p>
      <w:r>
        <w:t xml:space="preserve">(a) 2 mL</w:t>
      </w:r>
    </w:p>
    <w:p>
      <w:r>
        <w:t xml:space="preserve">(b) 2.5 mL</w:t>
      </w:r>
    </w:p>
    <w:p>
      <w:r>
        <w:t xml:space="preserve">(c) 3 mL</w:t>
      </w:r>
    </w:p>
    <w:p>
      <w:r>
        <w:t xml:space="preserve">(d) 3.5 mL</w:t>
      </w:r>
    </w:p>
    <w:p>
      <w:r>
        <w:t xml:space="preserve">Answer: b</w:t>
      </w:r>
    </w:p>
    <w:p>
      <w:r>
        <w:t xml:space="preserve">Solution: Volume = 85 ÷ 34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hyperkalemia. Which ECG change is most characteristic?</w:t>
      </w:r>
    </w:p>
    <w:p>
      <w:r>
        <w:t xml:space="preserve">(a) Peaked T waves</w:t>
      </w:r>
    </w:p>
    <w:p>
      <w:r>
        <w:t xml:space="preserve">(b) Flat T waves</w:t>
      </w:r>
    </w:p>
    <w:p>
      <w:r>
        <w:t xml:space="preserve">(c) U waves</w:t>
      </w:r>
    </w:p>
    <w:p>
      <w:r>
        <w:t xml:space="preserve">(d) Normal tracing</w:t>
      </w:r>
    </w:p>
    <w:p>
      <w:r>
        <w:t xml:space="preserve">Answer: a</w:t>
      </w:r>
    </w:p>
    <w:p>
      <w:r>
        <w:t xml:space="preserve">Solution: Hyperkalemia — peaked (tented) T waves, widened QRS, and loss of P waves — progressing to arrest. Emergency treatment includes calcium gluconate and insulin-dextrose.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Cheyne-Stokes breathing. This is associated with:</w:t>
      </w:r>
    </w:p>
    <w:p>
      <w:r>
        <w:t xml:space="preserve">(a) Heart failure, brain injury, and narcotic overdose</w:t>
      </w:r>
    </w:p>
    <w:p>
      <w:r>
        <w:t xml:space="preserve">(b) Normal sleep</w:t>
      </w:r>
    </w:p>
    <w:p>
      <w:r>
        <w:t xml:space="preserve">(c) Hyperthyroidism</w:t>
      </w:r>
    </w:p>
    <w:p>
      <w:r>
        <w:t xml:space="preserve">(d) Dehydration only</w:t>
      </w:r>
    </w:p>
    <w:p>
      <w:r>
        <w:t xml:space="preserve">Answer: a</w:t>
      </w:r>
    </w:p>
    <w:p>
      <w:r>
        <w:t xml:space="preserve">Solution: Cheyne-Stokes — alternating deep breathing and apnea — occurs in heart failure, brain injury, and drug overdose. The nurse reports the pattern.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for skin breakdown. The nurse should teach the patient to:</w:t>
      </w:r>
    </w:p>
    <w:p>
      <w:r>
        <w:t xml:space="preserve">(a) Report burning or pain at a specific spot on the cast</w:t>
      </w:r>
    </w:p>
    <w:p>
      <w:r>
        <w:t xml:space="preserve">(b) Insert padding under the cast</w:t>
      </w:r>
    </w:p>
    <w:p>
      <w:r>
        <w:t xml:space="preserve">(c) Wet the cast</w:t>
      </w:r>
    </w:p>
    <w:p>
      <w:r>
        <w:t xml:space="preserve">(d) Remove the cast</w:t>
      </w:r>
    </w:p>
    <w:p>
      <w:r>
        <w:t xml:space="preserve">Answer: a</w:t>
      </w:r>
    </w:p>
    <w:p>
      <w:r>
        <w:t xml:space="preserve">Solution: Localized burning/pain under a cast suggests a pressure point — the nurse reports it for cast adjustment. Padding is not inserted; the cast is removed only with an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hyperkalemia. Which symptom should the patient report?</w:t>
      </w:r>
    </w:p>
    <w:p>
      <w:r>
        <w:t xml:space="preserve">(a) Palpitations and muscle weakness</w:t>
      </w:r>
    </w:p>
    <w:p>
      <w:r>
        <w:t xml:space="preserve">(b) Constipation only</w:t>
      </w:r>
    </w:p>
    <w:p>
      <w:r>
        <w:t xml:space="preserve">(c) Weight gain only</w:t>
      </w:r>
    </w:p>
    <w:p>
      <w:r>
        <w:t xml:space="preserve">(d) Dry mouth</w:t>
      </w:r>
    </w:p>
    <w:p>
      <w:r>
        <w:t xml:space="preserve">Answer: a</w:t>
      </w:r>
    </w:p>
    <w:p>
      <w:r>
        <w:t xml:space="preserve">Solution: Hyperkalemia — palpitations, weakness, and tingling — can cause arrhythmias. The nurse teaches potassium restriction and prompt reporting.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biopsy. After the procedure, the nurse should:</w:t>
      </w:r>
    </w:p>
    <w:p>
      <w:r>
        <w:t xml:space="preserve">(a) Keep the patient flat and monitor for bleeding</w:t>
      </w:r>
    </w:p>
    <w:p>
      <w:r>
        <w:t xml:space="preserve">(b) Ambulate immediately</w:t>
      </w:r>
    </w:p>
    <w:p>
      <w:r>
        <w:t xml:space="preserve">(c) Skip monitoring</w:t>
      </w:r>
    </w:p>
    <w:p>
      <w:r>
        <w:t xml:space="preserve">(d) Remove the dressing</w:t>
      </w:r>
    </w:p>
    <w:p>
      <w:r>
        <w:t xml:space="preserve">Answer: a</w:t>
      </w:r>
    </w:p>
    <w:p>
      <w:r>
        <w:t xml:space="preserve">Solution: After renal biopsy, the patient lies flat (4–6 hours) with monitoring of vitals, urine (hematuria), and flank pain — bleeding is the main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third stage of labor. The nurse should monitor for:</w:t>
      </w:r>
    </w:p>
    <w:p>
      <w:r>
        <w:t xml:space="preserve">(a) Blood loss and signs of postpartum hemorrhage</w:t>
      </w:r>
    </w:p>
    <w:p>
      <w:r>
        <w:t xml:space="preserve">(b) Hyperglycemia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The third stage — the nurse monitors blood loss, fundal tone, placental separation, and administers oxytocin to prevent PPH.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acute malnutrition is being fed F75. The nurse should:</w:t>
      </w:r>
    </w:p>
    <w:p>
      <w:r>
        <w:t xml:space="preserve">(a) Give small, frequent feeds and monitor for refeeding syndrome</w:t>
      </w:r>
    </w:p>
    <w:p>
      <w:r>
        <w:t xml:space="preserve">(b) Give large feeds</w:t>
      </w:r>
    </w:p>
    <w:p>
      <w:r>
        <w:t xml:space="preserve">(c) Give only water</w:t>
      </w:r>
    </w:p>
    <w:p>
      <w:r>
        <w:t xml:space="preserve">(d) Discharge the infant</w:t>
      </w:r>
    </w:p>
    <w:p>
      <w:r>
        <w:t xml:space="preserve">Answer: a</w:t>
      </w:r>
    </w:p>
    <w:p>
      <w:r>
        <w:t xml:space="preserve">Solution: SAM stabilization — F75 in small, frequent feeds with monitoring for refeeding syndrome (hypophosphatemia, edema, heart failure).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having a panic attack. The nurse should:</w:t>
      </w:r>
    </w:p>
    <w:p>
      <w:r>
        <w:t xml:space="preserve">(a) Stay with the patient and guide slow breathing</w:t>
      </w:r>
    </w:p>
    <w:p>
      <w:r>
        <w:t xml:space="preserve">(b) Leave the patient alone</w:t>
      </w:r>
    </w:p>
    <w:p>
      <w:r>
        <w:t xml:space="preserve">(c) Shout at the patient</w:t>
      </w:r>
    </w:p>
    <w:p>
      <w:r>
        <w:t xml:space="preserve">(d) Restrain the patient</w:t>
      </w:r>
    </w:p>
    <w:p>
      <w:r>
        <w:t xml:space="preserve">Answer: a</w:t>
      </w:r>
    </w:p>
    <w:p>
      <w:r>
        <w:t xml:space="preserve">Solution: During a panic attack, the nurse stays with the patient, speaks calmly, and guides slow breathing — reducing hyperventilation and anxiety.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medicines at prices that are:</w:t>
      </w:r>
    </w:p>
    <w:p>
      <w:r>
        <w:t xml:space="preserve">(a) Fixed and affordable</w:t>
      </w:r>
    </w:p>
    <w:p>
      <w:r>
        <w:t xml:space="preserve">(b) Market-driven only</w:t>
      </w:r>
    </w:p>
    <w:p>
      <w:r>
        <w:t xml:space="preserve">(c) Import-based only</w:t>
      </w:r>
    </w:p>
    <w:p>
      <w:r>
        <w:t xml:space="preserve">(d) Auction-based</w:t>
      </w:r>
    </w:p>
    <w:p>
      <w:r>
        <w:t xml:space="preserve">Answer: a</w:t>
      </w:r>
    </w:p>
    <w:p>
      <w:r>
        <w:t xml:space="preserve">Solution: Jan Aushadhi medicines are sold at fixed, affordable prices — 50–90% below branded equivalents.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1.2 g of a medication. The vial contains 400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1.2 g = 1,200 mg. Volume = 1,200 ÷ 400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hyponatremia. Which assessment finding is expected?</w:t>
      </w:r>
    </w:p>
    <w:p>
      <w:r>
        <w:t xml:space="preserve">(a) Confusion, headache, and seizures</w:t>
      </w:r>
    </w:p>
    <w:p>
      <w:r>
        <w:t xml:space="preserve">(b) Excessive thirst</w:t>
      </w:r>
    </w:p>
    <w:p>
      <w:r>
        <w:t xml:space="preserve">(c) Edema only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Hyponatremia — cerebral edema causes confusion, headache, nausea, and seizures. The nurse monitors sodium and neurological status.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responds to painful stimuli only. This is:</w:t>
      </w:r>
    </w:p>
    <w:p>
      <w:r>
        <w:t xml:space="preserve">(a) Stupor</w:t>
      </w:r>
    </w:p>
    <w:p>
      <w:r>
        <w:t xml:space="preserve">(b) Alert</w:t>
      </w:r>
    </w:p>
    <w:p>
      <w:r>
        <w:t xml:space="preserve">(c) Confusion</w:t>
      </w:r>
    </w:p>
    <w:p>
      <w:r>
        <w:t xml:space="preserve">(d) Normal</w:t>
      </w:r>
    </w:p>
    <w:p>
      <w:r>
        <w:t xml:space="preserve">Answer: a</w:t>
      </w:r>
    </w:p>
    <w:p>
      <w:r>
        <w:t xml:space="preserve">Solution: Stupor — response only to vigorous/painful stimuli; coma is unresponsive. The nurse documents the level and trends with the GCS.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in a sling is being discharged. The nurse should teach the patient to:</w:t>
      </w:r>
    </w:p>
    <w:p>
      <w:r>
        <w:t xml:space="preserve">(a) Report numbness or pallor in the hand</w:t>
      </w:r>
    </w:p>
    <w:p>
      <w:r>
        <w:t xml:space="preserve">(b) Remove the sling permanently</w:t>
      </w:r>
    </w:p>
    <w:p>
      <w:r>
        <w:t xml:space="preserve">(c) Lift heavy objects</w:t>
      </w:r>
    </w:p>
    <w:p>
      <w:r>
        <w:t xml:space="preserve">(d) Skip follow-up</w:t>
      </w:r>
    </w:p>
    <w:p>
      <w:r>
        <w:t xml:space="preserve">Answer: a</w:t>
      </w:r>
    </w:p>
    <w:p>
      <w:r>
        <w:t xml:space="preserve">Solution: Humerus fracture — neurovascular monitoring, sling use as advised, gentle exercises, and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