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is admitted with acute gastroenteritis and is receiving IV fluids. Which assessment finding indicates that the client's condition is improving?</w:t>
      </w:r>
    </w:p>
    <w:p>
      <w:r>
        <w:t xml:space="preserve">(a) Urine output of 50 mL/hour</w:t>
      </w:r>
    </w:p>
    <w:p>
      <w:r>
        <w:t xml:space="preserve">(b) Dry mucous membranes</w:t>
      </w:r>
    </w:p>
    <w:p>
      <w:r>
        <w:t xml:space="preserve">(c) Increased thirst</w:t>
      </w:r>
    </w:p>
    <w:p>
      <w:r>
        <w:t xml:space="preserve">(d) Sunken eyes</w:t>
      </w:r>
    </w:p>
    <w:p>
      <w:r>
        <w:t xml:space="preserve">Answer: a</w:t>
      </w:r>
    </w:p>
    <w:p>
      <w:r>
        <w:t xml:space="preserve">Solution: Adequate urine output (at least 30 mL/hour) indicates improved hydration and renal perfusion. Dry mucous membranes, thirst, and sunken eyes are signs of continuing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to administer an intradermal injection for a tuberculin skin test. The correct angle of insertion is:</w:t>
      </w:r>
    </w:p>
    <w:p>
      <w:r>
        <w:t xml:space="preserve">(a) 10–15 degrees</w:t>
      </w:r>
    </w:p>
    <w:p>
      <w:r>
        <w:t xml:space="preserve">(b) 45 degrees</w:t>
      </w:r>
    </w:p>
    <w:p>
      <w:r>
        <w:t xml:space="preserve">(c) 90 degrees</w:t>
      </w:r>
    </w:p>
    <w:p>
      <w:r>
        <w:t xml:space="preserve">(d) 30 degrees</w:t>
      </w:r>
    </w:p>
    <w:p>
      <w:r>
        <w:t xml:space="preserve">Answer: a</w:t>
      </w:r>
    </w:p>
    <w:p>
      <w:r>
        <w:t xml:space="preserve">Solution: Intradermal injections are given at a 10–15 degree angle, just under the epidermis, forming a small wheal. Subcutaneous injections use 45 degrees, and intramuscular injections use 90 degrees.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hypokalemia is prescribed oral potassium supplements. Which instruction should the nurse include?</w:t>
      </w:r>
    </w:p>
    <w:p>
      <w:r>
        <w:t xml:space="preserve">(a) Take the potassium with a full glass of water or juice</w:t>
      </w:r>
    </w:p>
    <w:p>
      <w:r>
        <w:t xml:space="preserve">(b) Swallow the tablet dry without water</w:t>
      </w:r>
    </w:p>
    <w:p>
      <w:r>
        <w:t xml:space="preserve">(c) Crush the sustained-release tablet</w:t>
      </w:r>
    </w:p>
    <w:p>
      <w:r>
        <w:t xml:space="preserve">(d) Take potassium on an empty stomach only</w:t>
      </w:r>
    </w:p>
    <w:p>
      <w:r>
        <w:t xml:space="preserve">Answer: a</w:t>
      </w:r>
    </w:p>
    <w:p>
      <w:r>
        <w:t xml:space="preserve">Solution: Oral potassium should be taken with a full glass of water or juice to dilute it and reduce gastric irritation. Sustained-release tablets are never crushed or chewed.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client with a new colostomy. Which food is most likely to cause gas and odor?</w:t>
      </w:r>
    </w:p>
    <w:p>
      <w:r>
        <w:t xml:space="preserve">(a) Cabbage and beans</w:t>
      </w:r>
    </w:p>
    <w:p>
      <w:r>
        <w:t xml:space="preserve">(b) White rice</w:t>
      </w:r>
    </w:p>
    <w:p>
      <w:r>
        <w:t xml:space="preserve">(c) Peeled apples</w:t>
      </w:r>
    </w:p>
    <w:p>
      <w:r>
        <w:t xml:space="preserve">(d) Boiled potatoes</w:t>
      </w:r>
    </w:p>
    <w:p>
      <w:r>
        <w:t xml:space="preserve">Answer: a</w:t>
      </w:r>
    </w:p>
    <w:p>
      <w:r>
        <w:t xml:space="preserve">Solution: Gas-forming foods such as cabbage, beans, onions, and carbonated drinks cause stomal gas and odor. Rice, peeled apples, and potatoes are low-gas foods.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chronic heart failure reports sudden weight gain of 1.5 kg overnight. The nurse should:</w:t>
      </w:r>
    </w:p>
    <w:p>
      <w:r>
        <w:t xml:space="preserve">(a) Notify the physician — this indicates fluid retention</w:t>
      </w:r>
    </w:p>
    <w:p>
      <w:r>
        <w:t xml:space="preserve">(b) Encourage the client to drink more fluids</w:t>
      </w:r>
    </w:p>
    <w:p>
      <w:r>
        <w:t xml:space="preserve">(c) Document it as normal fluctuation</w:t>
      </w:r>
    </w:p>
    <w:p>
      <w:r>
        <w:t xml:space="preserve">(d) Decrease the client's activity only</w:t>
      </w:r>
    </w:p>
    <w:p>
      <w:r>
        <w:t xml:space="preserve">Answer: a</w:t>
      </w:r>
    </w:p>
    <w:p>
      <w:r>
        <w:t xml:space="preserve">Solution: Rapid overnight weight gain in heart failure signals fluid retention and worsening failure. The nurse reports it, assesses for edema and dyspnea, and reviews the diuretic plan.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antibiotic that is nephrotoxic. Which laboratory value should the nurse monitor most closely?</w:t>
      </w:r>
    </w:p>
    <w:p>
      <w:r>
        <w:t xml:space="preserve">(a) Serum creatinine and BUN</w:t>
      </w:r>
    </w:p>
    <w:p>
      <w:r>
        <w:t xml:space="preserve">(b) Serum calcium</w:t>
      </w:r>
    </w:p>
    <w:p>
      <w:r>
        <w:t xml:space="preserve">(c) Hemoglobin</w:t>
      </w:r>
    </w:p>
    <w:p>
      <w:r>
        <w:t xml:space="preserve">(d) Platelet count</w:t>
      </w:r>
    </w:p>
    <w:p>
      <w:r>
        <w:t xml:space="preserve">Answer: a</w:t>
      </w:r>
    </w:p>
    <w:p>
      <w:r>
        <w:t xml:space="preserve">Solution: Nephrotoxic drugs can impair kidney function; serum creatinine and BUN are monitored to detect renal injury. The other values are not primary indicators of kidney damage.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postural drainage to a client. The purpose of this technique is to:</w:t>
      </w:r>
    </w:p>
    <w:p>
      <w:r>
        <w:t xml:space="preserve">(a) Use gravity to drain secretions from specific lung segments</w:t>
      </w:r>
    </w:p>
    <w:p>
      <w:r>
        <w:t xml:space="preserve">(b) Increase the respiratory rate</w:t>
      </w:r>
    </w:p>
    <w:p>
      <w:r>
        <w:t xml:space="preserve">(c) Strengthen the intercostal muscles</w:t>
      </w:r>
    </w:p>
    <w:p>
      <w:r>
        <w:t xml:space="preserve">(d) Reduce oxygen consumption</w:t>
      </w:r>
    </w:p>
    <w:p>
      <w:r>
        <w:t xml:space="preserve">Answer: a</w:t>
      </w:r>
    </w:p>
    <w:p>
      <w:r>
        <w:t xml:space="preserve">Solution: Postural drainage uses gravity to move secretions from the smaller airways to the larger airways where they can be coughed out. It is often combined with percussion and vibration.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fractured femur is in skeletal traction. Which finding requires immediate intervention?</w:t>
      </w:r>
    </w:p>
    <w:p>
      <w:r>
        <w:t xml:space="preserve">(a) Pin site drainage with loosening of the pin</w:t>
      </w:r>
    </w:p>
    <w:p>
      <w:r>
        <w:t xml:space="preserve">(b) Slight redness around the pin site</w:t>
      </w:r>
    </w:p>
    <w:p>
      <w:r>
        <w:t xml:space="preserve">(c) Mild discomfort in the leg</w:t>
      </w:r>
    </w:p>
    <w:p>
      <w:r>
        <w:t xml:space="preserve">(d) Normal neurovascular status of the foot</w:t>
      </w:r>
    </w:p>
    <w:p>
      <w:r>
        <w:t xml:space="preserve">Answer: a</w:t>
      </w:r>
    </w:p>
    <w:p>
      <w:r>
        <w:t xml:space="preserve">Solution: Pin site drainage with loosening indicates infection or instability and requires immediate attention. Slight redness and mild discomfort may be expected; neurovascular status should remain normal.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being discharged with a prescription for digoxin and furosemide. The nurse should teach the client to:</w:t>
      </w:r>
    </w:p>
    <w:p>
      <w:r>
        <w:t xml:space="preserve">(a) Report muscle weakness, nausea, or irregular pulse</w:t>
      </w:r>
    </w:p>
    <w:p>
      <w:r>
        <w:t xml:space="preserve">(b) Stop the digoxin if the pulse is above 80</w:t>
      </w:r>
    </w:p>
    <w:p>
      <w:r>
        <w:t xml:space="preserve">(c) Take both drugs on an empty stomach</w:t>
      </w:r>
    </w:p>
    <w:p>
      <w:r>
        <w:t xml:space="preserve">(d) Increase dietary potassium intake without monitoring</w:t>
      </w:r>
    </w:p>
    <w:p>
      <w:r>
        <w:t xml:space="preserve">Answer: a</w:t>
      </w:r>
    </w:p>
    <w:p>
      <w:r>
        <w:t xml:space="preserve">Solution: Digoxin toxicity and hypokalemia (from furosemide) cause nausea, weakness, and arrhythmias, which must be reported. Digoxin is held for bradycardia below 60, and potassium is monitored, not self-adjusted.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who is 4 hours post-cardiac catheterization. The nurse notes the insertion site dressing is saturated with blood. The priority action is:</w:t>
      </w:r>
    </w:p>
    <w:p>
      <w:r>
        <w:t xml:space="preserve">(a) Apply firm manual pressure above the site and notify the physician</w:t>
      </w:r>
    </w:p>
    <w:p>
      <w:r>
        <w:t xml:space="preserve">(b) Remove the dressing and replace it</w:t>
      </w:r>
    </w:p>
    <w:p>
      <w:r>
        <w:t xml:space="preserve">(c) Elevate the client's legs</w:t>
      </w:r>
    </w:p>
    <w:p>
      <w:r>
        <w:t xml:space="preserve">(d) Document the finding</w:t>
      </w:r>
    </w:p>
    <w:p>
      <w:r>
        <w:t xml:space="preserve">Answer: a</w:t>
      </w:r>
    </w:p>
    <w:p>
      <w:r>
        <w:t xml:space="preserve">Solution: Bleeding from the catheterization site requires immediate manual pressure and physician notification. The site is a potential source of life-threatening hemorrhage.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acute pancreatitis should be placed in which position for comfort?</w:t>
      </w:r>
    </w:p>
    <w:p>
      <w:r>
        <w:t xml:space="preserve">(a) Sitting upright and leaning forward</w:t>
      </w:r>
    </w:p>
    <w:p>
      <w:r>
        <w:t xml:space="preserve">(b) Lying flat on the back</w:t>
      </w:r>
    </w:p>
    <w:p>
      <w:r>
        <w:t xml:space="preserve">(c) Prone position</w:t>
      </w:r>
    </w:p>
    <w:p>
      <w:r>
        <w:t xml:space="preserve">(d) Trendelenburg position</w:t>
      </w:r>
    </w:p>
    <w:p>
      <w:r>
        <w:t xml:space="preserve">Answer: a</w:t>
      </w:r>
    </w:p>
    <w:p>
      <w:r>
        <w:t xml:space="preserve">Solution: Leaning forward while sitting reduces pressure on the inflamed pancreas and eases abdominal pain. The client remains NPO with IV fluids and analgesics.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hypertension about a DASH diet. Which food selection is most appropriate?</w:t>
      </w:r>
    </w:p>
    <w:p>
      <w:r>
        <w:t xml:space="preserve">(a) Fresh fruits, vegetables, and low-fat dairy</w:t>
      </w:r>
    </w:p>
    <w:p>
      <w:r>
        <w:t xml:space="preserve">(b) Processed meats</w:t>
      </w:r>
    </w:p>
    <w:p>
      <w:r>
        <w:t xml:space="preserve">(c) Canned soups</w:t>
      </w:r>
    </w:p>
    <w:p>
      <w:r>
        <w:t xml:space="preserve">(d) Pickled foods</w:t>
      </w:r>
    </w:p>
    <w:p>
      <w:r>
        <w:t xml:space="preserve">Answer: a</w:t>
      </w:r>
    </w:p>
    <w:p>
      <w:r>
        <w:t xml:space="preserve">Solution: The DASH diet emphasizes fruits, vegetables, whole grains, and low-fat dairy while limiting sodium, processed foods, and saturated fat. Canned, pickled, and processed items are high in sodium.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receiving an IV infusion of lactated Ringer's solution. The nurse should be cautious with this solution in a client with:</w:t>
      </w:r>
    </w:p>
    <w:p>
      <w:r>
        <w:t xml:space="preserve">(a) Liver disease (impaired lactate metabolism)</w:t>
      </w:r>
    </w:p>
    <w:p>
      <w:r>
        <w:t xml:space="preserve">(b) Diabetes</w:t>
      </w:r>
    </w:p>
    <w:p>
      <w:r>
        <w:t xml:space="preserve">(c) Asthma</w:t>
      </w:r>
    </w:p>
    <w:p>
      <w:r>
        <w:t xml:space="preserve">(d) Peptic ulcer disease</w:t>
      </w:r>
    </w:p>
    <w:p>
      <w:r>
        <w:t xml:space="preserve">Answer: a</w:t>
      </w:r>
    </w:p>
    <w:p>
      <w:r>
        <w:t xml:space="preserve">Solution: Lactated Ringer's contains lactate, which is metabolized by the liver to bicarbonate; clients with liver disease cannot clear lactate efficiently. It is also used cautiously in renal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client with a diagnosis of pulmonary edema. Which finding is most characteristic?</w:t>
      </w:r>
    </w:p>
    <w:p>
      <w:r>
        <w:t xml:space="preserve">(a) Frothy pink sputum and crackles</w:t>
      </w:r>
    </w:p>
    <w:p>
      <w:r>
        <w:t xml:space="preserve">(b) Clear breath sounds</w:t>
      </w:r>
    </w:p>
    <w:p>
      <w:r>
        <w:t xml:space="preserve">(c) Bradycardia</w:t>
      </w:r>
    </w:p>
    <w:p>
      <w:r>
        <w:t xml:space="preserve">(d) Hypertension only</w:t>
      </w:r>
    </w:p>
    <w:p>
      <w:r>
        <w:t xml:space="preserve">Answer: a</w:t>
      </w:r>
    </w:p>
    <w:p>
      <w:r>
        <w:t xml:space="preserve">Solution: Pulmonary edema causes frothy pink sputum, crackles, dyspnea, and orthopnea from fluid in the alveoli. The client is positioned upright and given oxygen and diuretics.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urinary catheter is being prepared for removal. The nurse should:</w:t>
      </w:r>
    </w:p>
    <w:p>
      <w:r>
        <w:t xml:space="preserve">(a) Instruct the client to breathe deeply during removal</w:t>
      </w:r>
    </w:p>
    <w:p>
      <w:r>
        <w:t xml:space="preserve">(b) Pull the catheter out rapidly without explanation</w:t>
      </w:r>
    </w:p>
    <w:p>
      <w:r>
        <w:t xml:space="preserve">(c) Ask the client to strain during removal</w:t>
      </w:r>
    </w:p>
    <w:p>
      <w:r>
        <w:t xml:space="preserve">(d) Clamp the catheter for a week before removal</w:t>
      </w:r>
    </w:p>
    <w:p>
      <w:r>
        <w:t xml:space="preserve">Answer: a</w:t>
      </w:r>
    </w:p>
    <w:p>
      <w:r>
        <w:t xml:space="preserve">Solution: The client takes a deep breath and exhales slowly while the catheter is gently withdrawn — this relaxes the sphincter and eases removal. No straining is required.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enoxaparin (Lovenox) subcutaneously for DVT prophylaxis. The nurse should:</w:t>
      </w:r>
    </w:p>
    <w:p>
      <w:r>
        <w:t xml:space="preserve">(a) Inject into the abdomen and not massage the site</w:t>
      </w:r>
    </w:p>
    <w:p>
      <w:r>
        <w:t xml:space="preserve">(b) Inject into the deltoid muscle</w:t>
      </w:r>
    </w:p>
    <w:p>
      <w:r>
        <w:t xml:space="preserve">(c) Massage the site after injection</w:t>
      </w:r>
    </w:p>
    <w:p>
      <w:r>
        <w:t xml:space="preserve">(d) Aspirate before injecting</w:t>
      </w:r>
    </w:p>
    <w:p>
      <w:r>
        <w:t xml:space="preserve">Answer: a</w:t>
      </w:r>
    </w:p>
    <w:p>
      <w:r>
        <w:t xml:space="preserve">Solution: Enoxaparin is given subcutaneously in the abdomen (alternating sides), and the site is not massaged to prevent bruising. Aspiration is not recommended for subcutaneous anticoagulants.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chronic obstructive pulmonary disease has an oxygen saturation of 89%. The nurse should:</w:t>
      </w:r>
    </w:p>
    <w:p>
      <w:r>
        <w:t xml:space="preserve">(a) Document and reassess; this may be acceptable for this client</w:t>
      </w:r>
    </w:p>
    <w:p>
      <w:r>
        <w:t xml:space="preserve">(b) Immediately increase oxygen to 10 L/min</w:t>
      </w:r>
    </w:p>
    <w:p>
      <w:r>
        <w:t xml:space="preserve">(c) Place the client in a prone position</w:t>
      </w:r>
    </w:p>
    <w:p>
      <w:r>
        <w:t xml:space="preserve">(d) Restrict all oxygen</w:t>
      </w:r>
    </w:p>
    <w:p>
      <w:r>
        <w:t xml:space="preserve">Answer: a</w:t>
      </w:r>
    </w:p>
    <w:p>
      <w:r>
        <w:t xml:space="preserve">Solution: For clients with COPD who retain CO2, the target SpO2 is often 88–92% to avoid suppressing the hypoxic drive. The nurse follows the prescribed oxygen titration order.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client with a wound that is healing by secondary intention. The nurse understands that this type of healing:</w:t>
      </w:r>
    </w:p>
    <w:p>
      <w:r>
        <w:t xml:space="preserve">(a) Leaves a larger scar because the wound is left open to granulate</w:t>
      </w:r>
    </w:p>
    <w:p>
      <w:r>
        <w:t xml:space="preserve">(b) Occurs when wound edges are approximated with sutures</w:t>
      </w:r>
    </w:p>
    <w:p>
      <w:r>
        <w:t xml:space="preserve">(c) Produces no scar</w:t>
      </w:r>
    </w:p>
    <w:p>
      <w:r>
        <w:t xml:space="preserve">(d) Is faster than primary intention</w:t>
      </w:r>
    </w:p>
    <w:p>
      <w:r>
        <w:t xml:space="preserve">Answer: a</w:t>
      </w:r>
    </w:p>
    <w:p>
      <w:r>
        <w:t xml:space="preserve">Solution: Secondary intention healing occurs when a wound is left open and fills with granulation tissue, resulting in a larger scar and a longer healing time. Primary intention involves approximated edges.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type 1 diabetes is scheduled for surgery in the morning. The nurse should:</w:t>
      </w:r>
    </w:p>
    <w:p>
      <w:r>
        <w:t xml:space="preserve">(a) Verify the plan for insulin dosing and blood glucose monitoring with the physician</w:t>
      </w:r>
    </w:p>
    <w:p>
      <w:r>
        <w:t xml:space="preserve">(b) Withhold all insulin without consulting anyone</w:t>
      </w:r>
    </w:p>
    <w:p>
      <w:r>
        <w:t xml:space="preserve">(c) Give the full usual dose of insulin without food</w:t>
      </w:r>
    </w:p>
    <w:p>
      <w:r>
        <w:t xml:space="preserve">(d) Encourage a large breakfast before surgery</w:t>
      </w:r>
    </w:p>
    <w:p>
      <w:r>
        <w:t xml:space="preserve">Answer: a</w:t>
      </w:r>
    </w:p>
    <w:p>
      <w:r>
        <w:t xml:space="preserve">Solution: Perioperative insulin management is individualized: the physician's orders for insulin (often a reduced dose) and glucose monitoring are verified. The client remains NPO.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hypothyroidism. The nurse should expect to find:</w:t>
      </w:r>
    </w:p>
    <w:p>
      <w:r>
        <w:t xml:space="preserve">(a) Lethargy, cold intolerance, and constipation</w:t>
      </w:r>
    </w:p>
    <w:p>
      <w:r>
        <w:t xml:space="preserve">(b) Heat intolerance and diarrhea</w:t>
      </w:r>
    </w:p>
    <w:p>
      <w:r>
        <w:t xml:space="preserve">(c) Exophthalmos</w:t>
      </w:r>
    </w:p>
    <w:p>
      <w:r>
        <w:t xml:space="preserve">(d) Tremors and weight loss</w:t>
      </w:r>
    </w:p>
    <w:p>
      <w:r>
        <w:t xml:space="preserve">Answer: a</w:t>
      </w:r>
    </w:p>
    <w:p>
      <w:r>
        <w:t xml:space="preserve">Solution: Hypothyroidism slows metabolism, causing lethargy, cold intolerance, constipation, weight gain, and dry skin. Heat intolerance, tremors, exophthalmos, and weight loss indicate hyperthyroidism.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