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earliest symptom of acute myocardial infarction reported by most patients is</w:t>
      </w:r>
    </w:p>
    <w:p>
      <w:pPr>
        <w:spacing w:after="200" w:line="276" w:lineRule="auto"/>
      </w:pPr>
      <w:r>
        <w:t>(a) Chest pain</w:t>
      </w:r>
    </w:p>
    <w:p>
      <w:pPr>
        <w:spacing w:after="200" w:line="276" w:lineRule="auto"/>
      </w:pPr>
      <w:r>
        <w:t>(b) Headache</w:t>
      </w:r>
    </w:p>
    <w:p>
      <w:pPr>
        <w:spacing w:after="200" w:line="276" w:lineRule="auto"/>
      </w:pPr>
      <w:r>
        <w:t>(c) Epigastric burning only</w:t>
      </w:r>
    </w:p>
    <w:p>
      <w:pPr>
        <w:spacing w:after="200" w:line="276" w:lineRule="auto"/>
      </w:pPr>
      <w:r>
        <w:t>(d) Joint pain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Chest pain</w:t>
      </w:r>
    </w:p>
    <w:p>
      <w:pPr>
        <w:spacing w:after="200" w:line="276" w:lineRule="auto"/>
      </w:pPr>
      <w:r>
        <w:t>🧠 Clinical Rationale: Crushing retrosternal chest pain, often radiating to the left arm, is the classic earliest symptom of MI.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Headache — does not match the characteristic feature/management described in the stem</w:t>
      </w:r>
    </w:p>
    <w:p>
      <w:pPr>
        <w:spacing w:after="200" w:line="276" w:lineRule="auto"/>
      </w:pPr>
      <w:r>
        <w:t>C. Epigastric burning only — does not match the characteristic feature/management described in the stem</w:t>
      </w:r>
    </w:p>
    <w:p>
      <w:pPr>
        <w:spacing w:after="200" w:line="276" w:lineRule="auto"/>
      </w:pPr>
      <w:r>
        <w:t>D. Joint pain — does not match the characteristic feature/management described in the stem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Immediately after diagnosing an acute MI, the nurse's priority action is to</w:t>
      </w:r>
    </w:p>
    <w:p>
      <w:pPr>
        <w:spacing w:after="200" w:line="276" w:lineRule="auto"/>
      </w:pPr>
      <w:r>
        <w:t>(a) Provide a hot water bath</w:t>
      </w:r>
    </w:p>
    <w:p>
      <w:pPr>
        <w:spacing w:after="200" w:line="276" w:lineRule="auto"/>
      </w:pPr>
      <w:r>
        <w:t>(b) Encourage the patient to walk</w:t>
      </w:r>
    </w:p>
    <w:p>
      <w:pPr>
        <w:spacing w:after="200" w:line="276" w:lineRule="auto"/>
      </w:pPr>
      <w:r>
        <w:t>(c) Administer oxygen and monitor for arrhythmias</w:t>
      </w:r>
    </w:p>
    <w:p>
      <w:pPr>
        <w:spacing w:after="200" w:line="276" w:lineRule="auto"/>
      </w:pPr>
      <w:r>
        <w:t>(d) Postpone all medications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Administer oxygen and monitor for arrhythmias</w:t>
      </w:r>
    </w:p>
    <w:p>
      <w:pPr>
        <w:spacing w:after="200" w:line="276" w:lineRule="auto"/>
      </w:pPr>
      <w:r>
        <w:t>🧠 Clinical Rationale: Oxygenation, pain relief and continuous cardiac monitoring are the immediate priorities in acute MI.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Myocardial Infarction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Administer oxygen and monitor for arrhythmias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Provide a hot water bath — does not address the immediate life-threatening problem (ABC comes first)</w:t>
      </w:r>
    </w:p>
    <w:p>
      <w:pPr>
        <w:spacing w:after="200" w:line="276" w:lineRule="auto"/>
      </w:pPr>
      <w:r>
        <w:t>B. Encourage the patient to walk — does not address the immediate life-threatening problem (ABC comes first)</w:t>
      </w:r>
    </w:p>
    <w:p>
      <w:pPr>
        <w:spacing w:after="200" w:line="276" w:lineRule="auto"/>
      </w:pPr>
      <w:r>
        <w:t>D. Postpone all medications — drug step — may be needed later, but it does not correct the immediate life-threatening problem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MI</w:t>
      </w:r>
    </w:p>
    <w:p>
      <w:pPr>
        <w:spacing w:after="200" w:line="276" w:lineRule="auto"/>
      </w:pPr>
      <w:r>
        <w:t>→ First actions: aspirin, oxygen (if SpO₂ low), nitroglycerin, morphine, cardiac monitoring</w:t>
      </w:r>
    </w:p>
    <w:p>
      <w:pPr>
        <w:spacing w:after="200" w:line="276" w:lineRule="auto"/>
      </w:pPr>
      <w:r>
        <w:t>→ Marker: troponin (rises 3–4 h, peaks ~24 h)</w:t>
      </w:r>
    </w:p>
    <w:p>
      <w:pPr>
        <w:spacing w:after="200" w:line="276" w:lineRule="auto"/>
      </w:pPr>
      <w:r>
        <w:t>→ Reperfusion: PCI &lt; 90 min or fibrinolysis &lt; 30 min</w:t>
      </w:r>
    </w:p>
    <w:p>
      <w:pPr>
        <w:spacing w:after="200" w:line="276" w:lineRule="auto"/>
      </w:pPr>
      <w:r>
        <w:t>→ Nursing: bed rest, no bearing down, monitor arrhythmias (first 24–48 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Pursed-lip breathing is taught to COPD patients mainly to</w:t>
      </w:r>
    </w:p>
    <w:p>
      <w:pPr>
        <w:spacing w:after="200" w:line="276" w:lineRule="auto"/>
      </w:pPr>
      <w:r>
        <w:t>(a) Increase respiratory rate</w:t>
      </w:r>
    </w:p>
    <w:p>
      <w:pPr>
        <w:spacing w:after="200" w:line="276" w:lineRule="auto"/>
      </w:pPr>
      <w:r>
        <w:t>(b) Induce coughing</w:t>
      </w:r>
    </w:p>
    <w:p>
      <w:pPr>
        <w:spacing w:after="200" w:line="276" w:lineRule="auto"/>
      </w:pPr>
      <w:r>
        <w:t>(c) Raise intrathoracic pressure</w:t>
      </w:r>
    </w:p>
    <w:p>
      <w:pPr>
        <w:spacing w:after="200" w:line="276" w:lineRule="auto"/>
      </w:pPr>
      <w:r>
        <w:t>(d) Prevent airway collapse and improve gas exchange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Prevent airway collapse and improve gas exchange</w:t>
      </w:r>
    </w:p>
    <w:p>
      <w:pPr>
        <w:spacing w:after="200" w:line="276" w:lineRule="auto"/>
      </w:pPr>
      <w:r>
        <w:t>🧠 Clinical Rationale: Pursed-lip breathing creates positive back-pressure that keeps airways open longer, improving ventilation.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respiratory rate — does not match the characteristic feature/management described in the stem</w:t>
      </w:r>
    </w:p>
    <w:p>
      <w:pPr>
        <w:spacing w:after="200" w:line="276" w:lineRule="auto"/>
      </w:pPr>
      <w:r>
        <w:t>B. Induce coughing — does not match the characteristic feature/management described in the stem</w:t>
      </w:r>
    </w:p>
    <w:p>
      <w:pPr>
        <w:spacing w:after="200" w:line="276" w:lineRule="auto"/>
      </w:pPr>
      <w:r>
        <w:t>C. Raise intrathoracic pressure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trigger of an acute asthma attack is</w:t>
      </w:r>
    </w:p>
    <w:p>
      <w:pPr>
        <w:spacing w:after="200" w:line="276" w:lineRule="auto"/>
      </w:pPr>
      <w:r>
        <w:t>(a) Cold bath</w:t>
      </w:r>
    </w:p>
    <w:p>
      <w:pPr>
        <w:spacing w:after="200" w:line="276" w:lineRule="auto"/>
      </w:pPr>
      <w:r>
        <w:t>(b) Excess sleep</w:t>
      </w:r>
    </w:p>
    <w:p>
      <w:pPr>
        <w:spacing w:after="200" w:line="276" w:lineRule="auto"/>
      </w:pPr>
      <w:r>
        <w:t>(c) Allergen exposure</w:t>
      </w:r>
    </w:p>
    <w:p>
      <w:pPr>
        <w:spacing w:after="200" w:line="276" w:lineRule="auto"/>
      </w:pPr>
      <w:r>
        <w:t>(d) Strenuous walking after recovery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Allergen exposure</w:t>
      </w:r>
    </w:p>
    <w:p>
      <w:pPr>
        <w:spacing w:after="200" w:line="276" w:lineRule="auto"/>
      </w:pPr>
      <w:r>
        <w:t>🧠 Clinical Rationale: Exposure to allergens such as dust, pollen, smoke and pet dander commonly precipitates asthma attacks.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bacterial pneumonia, the nurse would expect the sputum to be</w:t>
      </w:r>
    </w:p>
    <w:p>
      <w:pPr>
        <w:spacing w:after="200" w:line="276" w:lineRule="auto"/>
      </w:pPr>
      <w:r>
        <w:t>(a) Purulent and rusty</w:t>
      </w:r>
    </w:p>
    <w:p>
      <w:pPr>
        <w:spacing w:after="200" w:line="276" w:lineRule="auto"/>
      </w:pPr>
      <w:r>
        <w:t>(b) Clear and watery</w:t>
      </w:r>
    </w:p>
    <w:p>
      <w:pPr>
        <w:spacing w:after="200" w:line="276" w:lineRule="auto"/>
      </w:pPr>
      <w:r>
        <w:t>(c) Frothy and pink</w:t>
      </w:r>
    </w:p>
    <w:p>
      <w:pPr>
        <w:spacing w:after="200" w:line="276" w:lineRule="auto"/>
      </w:pPr>
      <w:r>
        <w:t>(d) Thick and white curd-like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Purulent and rusty</w:t>
      </w:r>
    </w:p>
    <w:p>
      <w:pPr>
        <w:spacing w:after="200" w:line="276" w:lineRule="auto"/>
      </w:pPr>
      <w:r>
        <w:t>🧠 Clinical Rationale: Rusty, purulent sputum is typical of pneumococcal pneumonia due to blood pigments.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Clear and watery — does not match the characteristic feature/management described in the stem</w:t>
      </w:r>
    </w:p>
    <w:p>
      <w:pPr>
        <w:spacing w:after="200" w:line="276" w:lineRule="auto"/>
      </w:pPr>
      <w:r>
        <w:t>C. Frothy and pink — does not match the characteristic feature/management described in the stem</w:t>
      </w:r>
    </w:p>
    <w:p>
      <w:pPr>
        <w:spacing w:after="200" w:line="276" w:lineRule="auto"/>
      </w:pPr>
      <w:r>
        <w:t>D. Thick and white curd-like — does not match the characteristic feature/management described in the stem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anti-tubercular drug combination used in the intensive phase of DOTS is</w:t>
      </w:r>
    </w:p>
    <w:p>
      <w:pPr>
        <w:spacing w:after="200" w:line="276" w:lineRule="auto"/>
      </w:pPr>
      <w:r>
        <w:t>(a) Streptomycin + Aspirin</w:t>
      </w:r>
    </w:p>
    <w:p>
      <w:pPr>
        <w:spacing w:after="200" w:line="276" w:lineRule="auto"/>
      </w:pPr>
      <w:r>
        <w:t>(b) Amoxicillin + Clavulanate</w:t>
      </w:r>
    </w:p>
    <w:p>
      <w:pPr>
        <w:spacing w:after="200" w:line="276" w:lineRule="auto"/>
      </w:pPr>
      <w:r>
        <w:t>(c) Isoniazid + Rifampicin + Pyrazinamide + Ethambutol</w:t>
      </w:r>
    </w:p>
    <w:p>
      <w:pPr>
        <w:spacing w:after="200" w:line="276" w:lineRule="auto"/>
      </w:pPr>
      <w:r>
        <w:t>(d) Metronidazole + Ciprofloxacin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Isoniazid + Rifampicin + Pyrazinamide + Ethambutol</w:t>
      </w:r>
    </w:p>
    <w:p>
      <w:pPr>
        <w:spacing w:after="200" w:line="276" w:lineRule="auto"/>
      </w:pPr>
      <w:r>
        <w:t>🧠 Clinical Rationale: The 2-month intensive phase uses HRZE — Isoniazid, Rifampicin, Pyrazinamide and Ethambutol.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Streptomycin + Aspirin — a related concept, but it does not match the defining feature asked</w:t>
      </w:r>
    </w:p>
    <w:p>
      <w:pPr>
        <w:spacing w:after="200" w:line="276" w:lineRule="auto"/>
      </w:pPr>
      <w:r>
        <w:t>B. Amoxicillin + Clavulanate — a related concept, but it does not match the defining feature asked</w:t>
      </w:r>
    </w:p>
    <w:p>
      <w:pPr>
        <w:spacing w:after="200" w:line="276" w:lineRule="auto"/>
      </w:pPr>
      <w:r>
        <w:t>D. Metronidazole + Ciprofloxacin — a related concept, but it does not match the defining feature asked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common organism responsible for peptic ulcer disease is</w:t>
      </w:r>
    </w:p>
    <w:p>
      <w:pPr>
        <w:spacing w:after="200" w:line="276" w:lineRule="auto"/>
      </w:pPr>
      <w:r>
        <w:t>(a) Escherichia coli</w:t>
      </w:r>
    </w:p>
    <w:p>
      <w:pPr>
        <w:spacing w:after="200" w:line="276" w:lineRule="auto"/>
      </w:pPr>
      <w:r>
        <w:t>(b) Staphylococcus aureus</w:t>
      </w:r>
    </w:p>
    <w:p>
      <w:pPr>
        <w:spacing w:after="200" w:line="276" w:lineRule="auto"/>
      </w:pPr>
      <w:r>
        <w:t>(c) Salmonella typhi</w:t>
      </w:r>
    </w:p>
    <w:p>
      <w:pPr>
        <w:spacing w:after="200" w:line="276" w:lineRule="auto"/>
      </w:pPr>
      <w:r>
        <w:t>(d) Helicobacter pylori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Helicobacter pylori</w:t>
      </w:r>
    </w:p>
    <w:p>
      <w:pPr>
        <w:spacing w:after="200" w:line="276" w:lineRule="auto"/>
      </w:pPr>
      <w:r>
        <w:t>🧠 Clinical Rationale: H. pylori infection is the leading cause of gastric and duodenal ulcers.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Escherichia coli — does not match the characteristic feature/management described in the stem</w:t>
      </w:r>
    </w:p>
    <w:p>
      <w:pPr>
        <w:spacing w:after="200" w:line="276" w:lineRule="auto"/>
      </w:pPr>
      <w:r>
        <w:t>B. Staphylococcus aureus — does not match the characteristic feature/management described in the stem</w:t>
      </w:r>
    </w:p>
    <w:p>
      <w:pPr>
        <w:spacing w:after="200" w:line="276" w:lineRule="auto"/>
      </w:pPr>
      <w:r>
        <w:t>C. Salmonella typhi — does not match the characteristic feature/management described in the stem</w:t>
      </w:r>
    </w:p>
    <w:p>
      <w:pPr>
        <w:spacing w:after="200" w:line="276" w:lineRule="auto"/>
      </w:pPr>
      <w:r>
        <w:t>⚠️ Exam Trap: H. pylori (gram-negative spiral) is the ulcer organism — not E. coli or S. aureus.</w:t>
      </w:r>
    </w:p>
    <w:p>
      <w:pPr>
        <w:spacing w:after="200" w:line="276" w:lineRule="auto"/>
      </w:pPr>
      <w:r>
        <w:t>💎 PNC Pearl: H. pylori is the leading cause of peptic ulcer disease — treated with triple therapy (PPI + 2 antibiotics).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Peptic ulcer</w:t>
      </w:r>
    </w:p>
    <w:p>
      <w:pPr>
        <w:spacing w:after="200" w:line="276" w:lineRule="auto"/>
      </w:pPr>
      <w:r>
        <w:t>→ Cause: H. pylori, NSAIDs, smoking, stress</w:t>
      </w:r>
    </w:p>
    <w:p>
      <w:pPr>
        <w:spacing w:after="200" w:line="276" w:lineRule="auto"/>
      </w:pPr>
      <w:r>
        <w:t>→ Triple therapy: PPI + Amoxicillin + Clarithromycin (+ metronidazole alternative)</w:t>
      </w:r>
    </w:p>
    <w:p>
      <w:pPr>
        <w:spacing w:after="200" w:line="276" w:lineRule="auto"/>
      </w:pPr>
      <w:r>
        <w:t>→ Pain relieved by food in duodenal ulcer; worse with food in gastric ulcer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clinical feature is a manifestation of portal hypertension in cirrhosis?</w:t>
      </w:r>
    </w:p>
    <w:p>
      <w:pPr>
        <w:spacing w:after="200" w:line="276" w:lineRule="auto"/>
      </w:pPr>
      <w:r>
        <w:t>(a) Increased appetite</w:t>
      </w:r>
    </w:p>
    <w:p>
      <w:pPr>
        <w:spacing w:after="200" w:line="276" w:lineRule="auto"/>
      </w:pPr>
      <w:r>
        <w:t>(b) Polycythaemia</w:t>
      </w:r>
    </w:p>
    <w:p>
      <w:pPr>
        <w:spacing w:after="200" w:line="276" w:lineRule="auto"/>
      </w:pPr>
      <w:r>
        <w:t>(c) Hyperactivity</w:t>
      </w:r>
    </w:p>
    <w:p>
      <w:pPr>
        <w:spacing w:after="200" w:line="276" w:lineRule="auto"/>
      </w:pPr>
      <w:r>
        <w:t>(d) Oesophageal varices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Oesophageal varices</w:t>
      </w:r>
    </w:p>
    <w:p>
      <w:pPr>
        <w:spacing w:after="200" w:line="276" w:lineRule="auto"/>
      </w:pPr>
      <w:r>
        <w:t>🧠 Clinical Rationale: Portal hypertension causes oesophageal varices, ascites and splenomegaly in cirrhosis.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Increased appetite — a related concept, but it does not match the defining feature asked</w:t>
      </w:r>
    </w:p>
    <w:p>
      <w:pPr>
        <w:spacing w:after="200" w:line="276" w:lineRule="auto"/>
      </w:pPr>
      <w:r>
        <w:t>B. Polycythaemia — a related concept, but it does not match the defining feature asked</w:t>
      </w:r>
    </w:p>
    <w:p>
      <w:pPr>
        <w:spacing w:after="200" w:line="276" w:lineRule="auto"/>
      </w:pPr>
      <w:r>
        <w:t>C. Hyperactivity — a related concept, but it does not match the defining feature asked</w:t>
      </w:r>
    </w:p>
    <w:p>
      <w:pPr>
        <w:spacing w:after="200" w:line="276" w:lineRule="auto"/>
      </w:pPr>
      <w:r>
        <w:t>⚠️ Exam Trap: Varices + ascites + splenomegaly = portal hypertension; hepatic encephalopathy is managed with lactulose (ammonia reduction).</w:t>
      </w:r>
    </w:p>
    <w:p>
      <w:pPr>
        <w:spacing w:after="200" w:line="276" w:lineRule="auto"/>
      </w:pPr>
      <w:r>
        <w:t>💎 PNC Pearl: Portal hypertension in cirrhosis → oesophageal varices, ascites and splenomegaly.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electrolyte disturbance is most commonly seen in end-stage renal disease?</w:t>
      </w:r>
    </w:p>
    <w:p>
      <w:pPr>
        <w:spacing w:after="200" w:line="276" w:lineRule="auto"/>
      </w:pPr>
      <w:r>
        <w:t>(a) Hyperkalaemia</w:t>
      </w:r>
    </w:p>
    <w:p>
      <w:pPr>
        <w:spacing w:after="200" w:line="276" w:lineRule="auto"/>
      </w:pPr>
      <w:r>
        <w:t>(b) Hypokalaemia</w:t>
      </w:r>
    </w:p>
    <w:p>
      <w:pPr>
        <w:spacing w:after="200" w:line="276" w:lineRule="auto"/>
      </w:pPr>
      <w:r>
        <w:t>(c) Hypocalcaemia with hypernatraemia</w:t>
      </w:r>
    </w:p>
    <w:p>
      <w:pPr>
        <w:spacing w:after="200" w:line="276" w:lineRule="auto"/>
      </w:pPr>
      <w:r>
        <w:t>(d) Hypophosphataemia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Hyperkalaemia</w:t>
      </w:r>
    </w:p>
    <w:p>
      <w:pPr>
        <w:spacing w:after="200" w:line="276" w:lineRule="auto"/>
      </w:pPr>
      <w:r>
        <w:t>🧠 Clinical Rationale: Impaired renal excretion of potassium causes hyperkalaemia, a life-threatening complication of CKD.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Hypokalaemia — a related concept, but it does not match the defining feature asked</w:t>
      </w:r>
    </w:p>
    <w:p>
      <w:pPr>
        <w:spacing w:after="200" w:line="276" w:lineRule="auto"/>
      </w:pPr>
      <w:r>
        <w:t>C. Hypocalcaemia with hypernatraemia — a related concept, but it does not match the defining feature asked</w:t>
      </w:r>
    </w:p>
    <w:p>
      <w:pPr>
        <w:spacing w:after="200" w:line="276" w:lineRule="auto"/>
      </w:pPr>
      <w:r>
        <w:t>D. Hypophosphataemia — a related concept, but it does not match the defining feature asked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Microcytic hypochromic anaemia is characteristic of</w:t>
      </w:r>
    </w:p>
    <w:p>
      <w:pPr>
        <w:spacing w:after="200" w:line="276" w:lineRule="auto"/>
      </w:pPr>
      <w:r>
        <w:t>(a) Pernicious anaemia</w:t>
      </w:r>
    </w:p>
    <w:p>
      <w:pPr>
        <w:spacing w:after="200" w:line="276" w:lineRule="auto"/>
      </w:pPr>
      <w:r>
        <w:t>(b) Sickle cell crisis only</w:t>
      </w:r>
    </w:p>
    <w:p>
      <w:pPr>
        <w:spacing w:after="200" w:line="276" w:lineRule="auto"/>
      </w:pPr>
      <w:r>
        <w:t>(c) Iron deficiency anaemia</w:t>
      </w:r>
    </w:p>
    <w:p>
      <w:pPr>
        <w:spacing w:after="200" w:line="276" w:lineRule="auto"/>
      </w:pPr>
      <w:r>
        <w:t>(d) Aplastic anaemia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Iron deficiency anaemia</w:t>
      </w:r>
    </w:p>
    <w:p>
      <w:pPr>
        <w:spacing w:after="200" w:line="276" w:lineRule="auto"/>
      </w:pPr>
      <w:r>
        <w:t>🧠 Clinical Rationale: Iron deficiency produces microcytic (small) and hypochromic (pale) red cells.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Pernicious anaemia — a related concept, but it does not match the defining feature asked</w:t>
      </w:r>
    </w:p>
    <w:p>
      <w:pPr>
        <w:spacing w:after="200" w:line="276" w:lineRule="auto"/>
      </w:pPr>
      <w:r>
        <w:t>B. Sickle cell crisis only — a related concept, but it does not match the defining feature asked</w:t>
      </w:r>
    </w:p>
    <w:p>
      <w:pPr>
        <w:spacing w:after="200" w:line="276" w:lineRule="auto"/>
      </w:pPr>
      <w:r>
        <w:t>D. Aplastic anaemia — a related concept, but it does not match the defining feature asked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early manifestation of acute leukaemia in adults is</w:t>
      </w:r>
    </w:p>
    <w:p>
      <w:pPr>
        <w:spacing w:after="200" w:line="276" w:lineRule="auto"/>
      </w:pPr>
      <w:r>
        <w:t>(a) Weight gain</w:t>
      </w:r>
    </w:p>
    <w:p>
      <w:pPr>
        <w:spacing w:after="200" w:line="276" w:lineRule="auto"/>
      </w:pPr>
      <w:r>
        <w:t>(b) Recurrent infections and bleeding</w:t>
      </w:r>
    </w:p>
    <w:p>
      <w:pPr>
        <w:spacing w:after="200" w:line="276" w:lineRule="auto"/>
      </w:pPr>
      <w:r>
        <w:t>(c) Constipation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Recurrent infections and bleeding</w:t>
      </w:r>
    </w:p>
    <w:p>
      <w:pPr>
        <w:spacing w:after="200" w:line="276" w:lineRule="auto"/>
      </w:pPr>
      <w:r>
        <w:t>🧠 Clinical Rationale: Bone marrow failure causes anaemia, infections (neutropenia) and bleeding (thrombocytopenia) in acute leukaemia.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Weight gain — a related concept, but it does not match the defining feature asked</w:t>
      </w:r>
    </w:p>
    <w:p>
      <w:pPr>
        <w:spacing w:after="200" w:line="276" w:lineRule="auto"/>
      </w:pPr>
      <w:r>
        <w:t>C. Constipation — a related concept, but it does not match the defining feature asked</w:t>
      </w:r>
    </w:p>
    <w:p>
      <w:pPr>
        <w:spacing w:after="200" w:line="276" w:lineRule="auto"/>
      </w:pPr>
      <w:r>
        <w:t>D. Bradycardia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fracture in which the skin remains intact is called a</w:t>
      </w:r>
    </w:p>
    <w:p>
      <w:pPr>
        <w:spacing w:after="200" w:line="276" w:lineRule="auto"/>
      </w:pPr>
      <w:r>
        <w:t>(a) Compound fracture</w:t>
      </w:r>
    </w:p>
    <w:p>
      <w:pPr>
        <w:spacing w:after="200" w:line="276" w:lineRule="auto"/>
      </w:pPr>
      <w:r>
        <w:t>(b) Comminuted fracture</w:t>
      </w:r>
    </w:p>
    <w:p>
      <w:pPr>
        <w:spacing w:after="200" w:line="276" w:lineRule="auto"/>
      </w:pPr>
      <w:r>
        <w:t>(c) Pathological fracture</w:t>
      </w:r>
    </w:p>
    <w:p>
      <w:pPr>
        <w:spacing w:after="200" w:line="276" w:lineRule="auto"/>
      </w:pPr>
      <w:r>
        <w:t>(d) Closed (simple) fracture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Closed (simple) fracture</w:t>
      </w:r>
    </w:p>
    <w:p>
      <w:pPr>
        <w:spacing w:after="200" w:line="276" w:lineRule="auto"/>
      </w:pPr>
      <w:r>
        <w:t>🧠 Clinical Rationale: In a closed/simple fracture the skin over the fracture site is intact; in a compound fracture the bone pierces the skin.</w:t>
      </w:r>
    </w:p>
    <w:p>
      <w:pPr>
        <w:spacing w:after="200" w:line="276" w:lineRule="auto"/>
      </w:pPr>
      <w:r>
        <w:t>💎 PNC Pearl: Compartment syndrome: pain out of proportion + pallor + paraesthesia + pulselessness — a surgical emergency (fasciotomy).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'Rule of Nines' in adults assigns what percentage to the entire anterior trunk?</w:t>
      </w:r>
    </w:p>
    <w:p>
      <w:pPr>
        <w:spacing w:after="200" w:line="276" w:lineRule="auto"/>
      </w:pPr>
      <w:r>
        <w:t>(a) 9%</w:t>
      </w:r>
    </w:p>
    <w:p>
      <w:pPr>
        <w:spacing w:after="200" w:line="276" w:lineRule="auto"/>
      </w:pPr>
      <w:r>
        <w:t>(b) 27%</w:t>
      </w:r>
    </w:p>
    <w:p>
      <w:pPr>
        <w:spacing w:after="200" w:line="276" w:lineRule="auto"/>
      </w:pPr>
      <w:r>
        <w:t>(c) 36%</w:t>
      </w:r>
    </w:p>
    <w:p>
      <w:pPr>
        <w:spacing w:after="200" w:line="276" w:lineRule="auto"/>
      </w:pPr>
      <w:r>
        <w:t>(d) 18%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18%</w:t>
      </w:r>
    </w:p>
    <w:p>
      <w:pPr>
        <w:spacing w:after="200" w:line="276" w:lineRule="auto"/>
      </w:pPr>
      <w:r>
        <w:t>🧠 Clinical Rationale: The anterior trunk (chest + abdomen) is 18% in the adult Rule of Nines (9% chest + 9% abdomen).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9% — does not match the characteristic feature/management described in the stem</w:t>
      </w:r>
    </w:p>
    <w:p>
      <w:pPr>
        <w:spacing w:after="200" w:line="276" w:lineRule="auto"/>
      </w:pPr>
      <w:r>
        <w:t>B. 27% — does not match the characteristic feature/management described in the stem</w:t>
      </w:r>
    </w:p>
    <w:p>
      <w:pPr>
        <w:spacing w:after="200" w:line="276" w:lineRule="auto"/>
      </w:pPr>
      <w:r>
        <w:t>C. 36% — does not match the characteristic feature/management described in the stem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Burns</w:t>
      </w:r>
    </w:p>
    <w:p>
      <w:pPr>
        <w:spacing w:after="200" w:line="276" w:lineRule="auto"/>
      </w:pPr>
      <w:r>
        <w:t>→ Rule of Nines: adult head 9%, arm 9% each, leg 18% each, trunk 18% front + 18% back, perineum 1%</w:t>
      </w:r>
    </w:p>
    <w:p>
      <w:pPr>
        <w:spacing w:after="200" w:line="276" w:lineRule="auto"/>
      </w:pPr>
      <w:r>
        <w:t>→ Fluids: Parkland 4 ml × weight(kg) × %TBSA in 24 h (half in first 8 h)</w:t>
      </w:r>
    </w:p>
    <w:p>
      <w:pPr>
        <w:spacing w:after="200" w:line="276" w:lineRule="auto"/>
      </w:pPr>
      <w:r>
        <w:t>→ Priority: airway (inhalation injury) → fluids → wound care → pain</w:t>
      </w:r>
    </w:p>
    <w:p>
      <w:pPr>
        <w:spacing w:after="200" w:line="276" w:lineRule="auto"/>
      </w:pPr>
      <w:r>
        <w:t>→ Watch: infection, hypothermia, contractures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Kernig's sign is a clinical finding of</w:t>
      </w:r>
    </w:p>
    <w:p>
      <w:pPr>
        <w:spacing w:after="200" w:line="276" w:lineRule="auto"/>
      </w:pPr>
      <w:r>
        <w:t>(a) Meningeal irritation</w:t>
      </w:r>
    </w:p>
    <w:p>
      <w:pPr>
        <w:spacing w:after="200" w:line="276" w:lineRule="auto"/>
      </w:pPr>
      <w:r>
        <w:t>(b) Renal failure</w:t>
      </w:r>
    </w:p>
    <w:p>
      <w:pPr>
        <w:spacing w:after="200" w:line="276" w:lineRule="auto"/>
      </w:pPr>
      <w:r>
        <w:t>(c) Hepatic encephalopathy</w:t>
      </w:r>
    </w:p>
    <w:p>
      <w:pPr>
        <w:spacing w:after="200" w:line="276" w:lineRule="auto"/>
      </w:pPr>
      <w:r>
        <w:t>(d) Peripheral neuropathy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Meningeal irritation</w:t>
      </w:r>
    </w:p>
    <w:p>
      <w:pPr>
        <w:spacing w:after="200" w:line="276" w:lineRule="auto"/>
      </w:pPr>
      <w:r>
        <w:t>🧠 Clinical Rationale: Kernig's sign — inability to extend the knee when the hip is flexed — indicates meningeal irritation.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Renal failure — does not match the characteristic feature/management described in the stem</w:t>
      </w:r>
    </w:p>
    <w:p>
      <w:pPr>
        <w:spacing w:after="200" w:line="276" w:lineRule="auto"/>
      </w:pPr>
      <w:r>
        <w:t>C. Hepatic encephalopathy — does not match the characteristic feature/management described in the stem</w:t>
      </w:r>
    </w:p>
    <w:p>
      <w:pPr>
        <w:spacing w:after="200" w:line="276" w:lineRule="auto"/>
      </w:pPr>
      <w:r>
        <w:t>D. Peripheral neuropathy — does not match the characteristic feature/management described in the stem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Meningitis</w:t>
      </w:r>
    </w:p>
    <w:p>
      <w:pPr>
        <w:spacing w:after="200" w:line="276" w:lineRule="auto"/>
      </w:pPr>
      <w:r>
        <w:t>→ Clues: fever, headache, neck stiffness, photophobia, positive Kernig/Brudzinski</w:t>
      </w:r>
    </w:p>
    <w:p>
      <w:pPr>
        <w:spacing w:after="200" w:line="276" w:lineRule="auto"/>
      </w:pPr>
      <w:r>
        <w:t>→ Bacterial: cloudy CSF, high neutrophils; Viral: lymphocytic CSF</w:t>
      </w:r>
    </w:p>
    <w:p>
      <w:pPr>
        <w:spacing w:after="200" w:line="276" w:lineRule="auto"/>
      </w:pPr>
      <w:r>
        <w:t>→ Droplet precautions + empiric antibiotics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duration of pregnancy is approximately</w:t>
      </w:r>
    </w:p>
    <w:p>
      <w:pPr>
        <w:spacing w:after="200" w:line="276" w:lineRule="auto"/>
      </w:pPr>
      <w:r>
        <w:t>(a) 32 weeks</w:t>
      </w:r>
    </w:p>
    <w:p>
      <w:pPr>
        <w:spacing w:after="200" w:line="276" w:lineRule="auto"/>
      </w:pPr>
      <w:r>
        <w:t>(b) 40 weeks</w:t>
      </w:r>
    </w:p>
    <w:p>
      <w:pPr>
        <w:spacing w:after="200" w:line="276" w:lineRule="auto"/>
      </w:pPr>
      <w:r>
        <w:t>(c) 36 weeks</w:t>
      </w:r>
    </w:p>
    <w:p>
      <w:pPr>
        <w:spacing w:after="200" w:line="276" w:lineRule="auto"/>
      </w:pPr>
      <w:r>
        <w:t>(d) 44 weeks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40 weeks</w:t>
      </w:r>
    </w:p>
    <w:p>
      <w:pPr>
        <w:spacing w:after="200" w:line="276" w:lineRule="auto"/>
      </w:pPr>
      <w:r>
        <w:t>🧠 Clinical Rationale: Pregnancy averages 280 days or 40 weeks from the first day of the last menstrual period.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At 20 weeks of gestation, the uterine fundus is at the level of</w:t>
      </w:r>
    </w:p>
    <w:p>
      <w:pPr>
        <w:spacing w:after="200" w:line="276" w:lineRule="auto"/>
      </w:pPr>
      <w:r>
        <w:t>(a) The xiphisternum</w:t>
      </w:r>
    </w:p>
    <w:p>
      <w:pPr>
        <w:spacing w:after="200" w:line="276" w:lineRule="auto"/>
      </w:pPr>
      <w:r>
        <w:t>(b) The umbilicus</w:t>
      </w:r>
    </w:p>
    <w:p>
      <w:pPr>
        <w:spacing w:after="200" w:line="276" w:lineRule="auto"/>
      </w:pPr>
      <w:r>
        <w:t>(c) The symphysis pubis</w:t>
      </w:r>
    </w:p>
    <w:p>
      <w:pPr>
        <w:spacing w:after="200" w:line="276" w:lineRule="auto"/>
      </w:pPr>
      <w:r>
        <w:t>(d) Midway between umbilicus and xiphisternum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umbilicus</w:t>
      </w:r>
    </w:p>
    <w:p>
      <w:pPr>
        <w:spacing w:after="200" w:line="276" w:lineRule="auto"/>
      </w:pPr>
      <w:r>
        <w:t>🧠 Clinical Rationale: From 20 weeks, fundal height in cm roughly equals gestational weeks; at 20 weeks the fundus reaches the umbilicus.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xiphisternum — a related concept, but it does not match the defining feature asked</w:t>
      </w:r>
    </w:p>
    <w:p>
      <w:pPr>
        <w:spacing w:after="200" w:line="276" w:lineRule="auto"/>
      </w:pPr>
      <w:r>
        <w:t>C. The symphysis pubis — a related concept, but it does not match the defining feature asked</w:t>
      </w:r>
    </w:p>
    <w:p>
      <w:pPr>
        <w:spacing w:after="200" w:line="276" w:lineRule="auto"/>
      </w:pPr>
      <w:r>
        <w:t>D. Midway between umbilicus and xiphisternum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fetal structure bypasses the lungs by shunting blood from the pulmonary artery to the aorta?</w:t>
      </w:r>
    </w:p>
    <w:p>
      <w:pPr>
        <w:spacing w:after="200" w:line="276" w:lineRule="auto"/>
      </w:pPr>
      <w:r>
        <w:t>(a) Ductus venosus</w:t>
      </w:r>
    </w:p>
    <w:p>
      <w:pPr>
        <w:spacing w:after="200" w:line="276" w:lineRule="auto"/>
      </w:pPr>
      <w:r>
        <w:t>(b) Foramen ovale</w:t>
      </w:r>
    </w:p>
    <w:p>
      <w:pPr>
        <w:spacing w:after="200" w:line="276" w:lineRule="auto"/>
      </w:pPr>
      <w:r>
        <w:t>(c) Ductus arteriosus</w:t>
      </w:r>
    </w:p>
    <w:p>
      <w:pPr>
        <w:spacing w:after="200" w:line="276" w:lineRule="auto"/>
      </w:pPr>
      <w:r>
        <w:t>(d) Umbilical vein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Ductus arteriosus</w:t>
      </w:r>
    </w:p>
    <w:p>
      <w:pPr>
        <w:spacing w:after="200" w:line="276" w:lineRule="auto"/>
      </w:pPr>
      <w:r>
        <w:t>🧠 Clinical Rationale: The ductus arteriosus connects the pulmonary artery to the aorta, diverting blood away from the non-functional fetal lungs.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Ductus venosus — a related concept, but it does not match the defining feature asked</w:t>
      </w:r>
    </w:p>
    <w:p>
      <w:pPr>
        <w:spacing w:after="200" w:line="276" w:lineRule="auto"/>
      </w:pPr>
      <w:r>
        <w:t>B. Foramen ovale — a related concept, but it does not match the defining feature asked</w:t>
      </w:r>
    </w:p>
    <w:p>
      <w:pPr>
        <w:spacing w:after="200" w:line="276" w:lineRule="auto"/>
      </w:pPr>
      <w:r>
        <w:t>D. Umbilical vein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nurse's FIRST action when a patient has postpartum haemorrhage due to uterine atony is</w:t>
      </w:r>
    </w:p>
    <w:p>
      <w:pPr>
        <w:spacing w:after="200" w:line="276" w:lineRule="auto"/>
      </w:pPr>
      <w:r>
        <w:t>(a) Fundal massage and oxytocin</w:t>
      </w:r>
    </w:p>
    <w:p>
      <w:pPr>
        <w:spacing w:after="200" w:line="276" w:lineRule="auto"/>
      </w:pPr>
      <w:r>
        <w:t>(b) Prepare for hysterectomy</w:t>
      </w:r>
    </w:p>
    <w:p>
      <w:pPr>
        <w:spacing w:after="200" w:line="276" w:lineRule="auto"/>
      </w:pPr>
      <w:r>
        <w:t>(c) Give a cold drink</w:t>
      </w:r>
    </w:p>
    <w:p>
      <w:pPr>
        <w:spacing w:after="200" w:line="276" w:lineRule="auto"/>
      </w:pPr>
      <w:r>
        <w:t>(d) Place in lithotomy position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Fundal massage and oxytocin</w:t>
      </w:r>
    </w:p>
    <w:p>
      <w:pPr>
        <w:spacing w:after="200" w:line="276" w:lineRule="auto"/>
      </w:pPr>
      <w:r>
        <w:t>🧠 Clinical Rationale: Uterine massage and oxytocin stimulate contraction of the atonic uterus — the first-line management of PPH.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Postpartum Haemorrhage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Fundal massage and oxytocin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Prepare for hysterectomy — does not address the immediate life-threatening problem (ABC comes first)</w:t>
      </w:r>
    </w:p>
    <w:p>
      <w:pPr>
        <w:spacing w:after="200" w:line="276" w:lineRule="auto"/>
      </w:pPr>
      <w:r>
        <w:t>C. Give a cold drink — does not address the immediate life-threatening problem (ABC comes first)</w:t>
      </w:r>
    </w:p>
    <w:p>
      <w:pPr>
        <w:spacing w:after="200" w:line="276" w:lineRule="auto"/>
      </w:pPr>
      <w:r>
        <w:t>D. Place in lithotomy position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classic triad of preeclampsia includes</w:t>
      </w:r>
    </w:p>
    <w:p>
      <w:pPr>
        <w:spacing w:after="200" w:line="276" w:lineRule="auto"/>
      </w:pPr>
      <w:r>
        <w:t>(a) Hypotension, anaemia and fever</w:t>
      </w:r>
    </w:p>
    <w:p>
      <w:pPr>
        <w:spacing w:after="200" w:line="276" w:lineRule="auto"/>
      </w:pPr>
      <w:r>
        <w:t>(b) Hypertension, proteinuria and oedema</w:t>
      </w:r>
    </w:p>
    <w:p>
      <w:pPr>
        <w:spacing w:after="200" w:line="276" w:lineRule="auto"/>
      </w:pPr>
      <w:r>
        <w:t>(c) Bleeding, pain and fever</w:t>
      </w:r>
    </w:p>
    <w:p>
      <w:pPr>
        <w:spacing w:after="200" w:line="276" w:lineRule="auto"/>
      </w:pPr>
      <w:r>
        <w:t>(d) Weight loss, polyuria and thirst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Hypertension, proteinuria and oedema</w:t>
      </w:r>
    </w:p>
    <w:p>
      <w:pPr>
        <w:spacing w:after="200" w:line="276" w:lineRule="auto"/>
      </w:pPr>
      <w:r>
        <w:t>🧠 Clinical Rationale: Preeclampsia is defined by new-onset hypertension with proteinuria (and often oedema) after 20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Hypotension, anaemia and fever — does not match the characteristic feature/management described in the stem</w:t>
      </w:r>
    </w:p>
    <w:p>
      <w:pPr>
        <w:spacing w:after="200" w:line="276" w:lineRule="auto"/>
      </w:pPr>
      <w:r>
        <w:t>C. Bleeding, pain and fever — does not match the characteristic feature/management described in the stem</w:t>
      </w:r>
    </w:p>
    <w:p>
      <w:pPr>
        <w:spacing w:after="200" w:line="276" w:lineRule="auto"/>
      </w:pPr>
      <w:r>
        <w:t>D. Weight loss, polyuria and thirst — does not match the characteristic feature/management described in the stem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Placenta previa characteristically presents with</w:t>
      </w:r>
    </w:p>
    <w:p>
      <w:pPr>
        <w:spacing w:after="200" w:line="276" w:lineRule="auto"/>
      </w:pPr>
      <w:r>
        <w:t>(a) Severe abdominal pain with rigid uterus</w:t>
      </w:r>
    </w:p>
    <w:p>
      <w:pPr>
        <w:spacing w:after="200" w:line="276" w:lineRule="auto"/>
      </w:pPr>
      <w:r>
        <w:t>(b) Painless vaginal bleeding in the third trimester</w:t>
      </w:r>
    </w:p>
    <w:p>
      <w:pPr>
        <w:spacing w:after="200" w:line="276" w:lineRule="auto"/>
      </w:pPr>
      <w:r>
        <w:t>(c) Bleeding after a fall only</w:t>
      </w:r>
    </w:p>
    <w:p>
      <w:pPr>
        <w:spacing w:after="200" w:line="276" w:lineRule="auto"/>
      </w:pPr>
      <w:r>
        <w:t>(d) Fever with chills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Painless vaginal bleeding in the third trimester</w:t>
      </w:r>
    </w:p>
    <w:p>
      <w:pPr>
        <w:spacing w:after="200" w:line="276" w:lineRule="auto"/>
      </w:pPr>
      <w:r>
        <w:t>🧠 Clinical Rationale: Placenta previa causes painless, bright-red vaginal bleeding as the placenta partially or fully covers the cervix.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Severe abdominal pain with rigid uterus — a related concept, but it does not match the defining feature asked</w:t>
      </w:r>
    </w:p>
    <w:p>
      <w:pPr>
        <w:spacing w:after="200" w:line="276" w:lineRule="auto"/>
      </w:pPr>
      <w:r>
        <w:t>C. Bleeding after a fall only — a related concept, but it does not match the defining feature asked</w:t>
      </w:r>
    </w:p>
    <w:p>
      <w:pPr>
        <w:spacing w:after="200" w:line="276" w:lineRule="auto"/>
      </w:pPr>
      <w:r>
        <w:t>D. Fever with chills — a related concept, but it does not match the defining feature asked</w:t>
      </w:r>
    </w:p>
    <w:p>
      <w:pPr>
        <w:spacing w:after="200" w:line="276" w:lineRule="auto"/>
      </w:pPr>
      <w:r>
        <w:t>⚠️ Exam Trap: Painless bleeding = previa; PAINFUL bleeding with rigid uterus = abruption. Never perform a vaginal exam in suspected previa.</w:t>
      </w:r>
    </w:p>
    <w:p>
      <w:pPr>
        <w:spacing w:after="200" w:line="276" w:lineRule="auto"/>
      </w:pPr>
      <w:r>
        <w:t>💎 PNC Pearl: Placenta previa = PAINLESS bright-red vaginal bleeding in the third trimester; NEVER do a vaginal examination.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