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 milk secreted by the breast after delivery, rich in antibodies, is called</w:t>
      </w:r>
    </w:p>
    <w:p>
      <w:pPr>
        <w:spacing w:after="200" w:line="276" w:lineRule="auto"/>
      </w:pPr>
      <w:r>
        <w:t>(a) Transitional milk</w:t>
      </w:r>
    </w:p>
    <w:p>
      <w:pPr>
        <w:spacing w:after="200" w:line="276" w:lineRule="auto"/>
      </w:pPr>
      <w:r>
        <w:t>(b) Mature milk</w:t>
      </w:r>
    </w:p>
    <w:p>
      <w:pPr>
        <w:spacing w:after="200" w:line="276" w:lineRule="auto"/>
      </w:pPr>
      <w:r>
        <w:t>(c) Fore milk</w:t>
      </w:r>
    </w:p>
    <w:p>
      <w:pPr>
        <w:spacing w:after="200" w:line="276" w:lineRule="auto"/>
      </w:pPr>
      <w:r>
        <w:t>(d) Colostrum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Colostrum</w:t>
      </w:r>
    </w:p>
    <w:p>
      <w:pPr>
        <w:spacing w:after="200" w:line="276" w:lineRule="auto"/>
      </w:pPr>
      <w:r>
        <w:t>🧠 Clinical Rationale: Colostrum, secreted in the first 2–3 days, is rich in immunoglobulins (especially IgA) and protects the newborn.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Involution of the uterus after normal delivery takes approximately</w:t>
      </w:r>
    </w:p>
    <w:p>
      <w:pPr>
        <w:spacing w:after="200" w:line="276" w:lineRule="auto"/>
      </w:pPr>
      <w:r>
        <w:t>(a) 2 weeks</w:t>
      </w:r>
    </w:p>
    <w:p>
      <w:pPr>
        <w:spacing w:after="200" w:line="276" w:lineRule="auto"/>
      </w:pPr>
      <w:r>
        <w:t>(b) 6 weeks</w:t>
      </w:r>
    </w:p>
    <w:p>
      <w:pPr>
        <w:spacing w:after="200" w:line="276" w:lineRule="auto"/>
      </w:pPr>
      <w:r>
        <w:t>(c) 12 weeks</w:t>
      </w:r>
    </w:p>
    <w:p>
      <w:pPr>
        <w:spacing w:after="200" w:line="276" w:lineRule="auto"/>
      </w:pPr>
      <w:r>
        <w:t>(d) 6 months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weeks</w:t>
      </w:r>
    </w:p>
    <w:p>
      <w:pPr>
        <w:spacing w:after="200" w:line="276" w:lineRule="auto"/>
      </w:pPr>
      <w:r>
        <w:t>🧠 Clinical Rationale: The uterus returns to its pre-pregnant size in about 6 weeks postpartum.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weeks — does not match the characteristic feature/management described in the stem</w:t>
      </w:r>
    </w:p>
    <w:p>
      <w:pPr>
        <w:spacing w:after="200" w:line="276" w:lineRule="auto"/>
      </w:pPr>
      <w:r>
        <w:t>C. 12 weeks — does not match the characteristic feature/management described in the stem</w:t>
      </w:r>
    </w:p>
    <w:p>
      <w:pPr>
        <w:spacing w:after="200" w:line="276" w:lineRule="auto"/>
      </w:pPr>
      <w:r>
        <w:t>D. 6 months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the Universal Immunization Programme, BCG vaccine is given at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6 weeks</w:t>
      </w:r>
    </w:p>
    <w:p>
      <w:pPr>
        <w:spacing w:after="200" w:line="276" w:lineRule="auto"/>
      </w:pPr>
      <w:r>
        <w:t>(c) 9 months</w:t>
      </w:r>
    </w:p>
    <w:p>
      <w:pPr>
        <w:spacing w:after="200" w:line="276" w:lineRule="auto"/>
      </w:pPr>
      <w:r>
        <w:t>(d) 16–24 months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Birth</w:t>
      </w:r>
    </w:p>
    <w:p>
      <w:pPr>
        <w:spacing w:after="200" w:line="276" w:lineRule="auto"/>
      </w:pPr>
      <w:r>
        <w:t>🧠 Clinical Rationale: BCG (against TB) is administered at birth or as early as possible within the first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 weeks — plausible, but not the single most accurate fact asked</w:t>
      </w:r>
    </w:p>
    <w:p>
      <w:pPr>
        <w:spacing w:after="200" w:line="276" w:lineRule="auto"/>
      </w:pPr>
      <w:r>
        <w:t>C. 9 months — plausible, but not the single most accurate fact asked</w:t>
      </w:r>
    </w:p>
    <w:p>
      <w:pPr>
        <w:spacing w:after="200" w:line="276" w:lineRule="auto"/>
      </w:pPr>
      <w:r>
        <w:t>D. 16–24 months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infant can typically sit without support at the age of</w:t>
      </w:r>
    </w:p>
    <w:p>
      <w:pPr>
        <w:spacing w:after="200" w:line="276" w:lineRule="auto"/>
      </w:pPr>
      <w:r>
        <w:t>(a) 3 months</w:t>
      </w:r>
    </w:p>
    <w:p>
      <w:pPr>
        <w:spacing w:after="200" w:line="276" w:lineRule="auto"/>
      </w:pPr>
      <w:r>
        <w:t>(b) 8 months</w:t>
      </w:r>
    </w:p>
    <w:p>
      <w:pPr>
        <w:spacing w:after="200" w:line="276" w:lineRule="auto"/>
      </w:pPr>
      <w:r>
        <w:t>(c) 12 months</w:t>
      </w:r>
    </w:p>
    <w:p>
      <w:pPr>
        <w:spacing w:after="200" w:line="276" w:lineRule="auto"/>
      </w:pPr>
      <w:r>
        <w:t>(d) 18 months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8 months</w:t>
      </w:r>
    </w:p>
    <w:p>
      <w:pPr>
        <w:spacing w:after="200" w:line="276" w:lineRule="auto"/>
      </w:pPr>
      <w:r>
        <w:t>🧠 Clinical Rationale: Most infants achieve unsupported sitting by about 8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months — a related concept, but it does not match the defining feature asked</w:t>
      </w:r>
    </w:p>
    <w:p>
      <w:pPr>
        <w:spacing w:after="200" w:line="276" w:lineRule="auto"/>
      </w:pPr>
      <w:r>
        <w:t>C. 12 months — a related concept, but it does not match the defining feature asked</w:t>
      </w:r>
    </w:p>
    <w:p>
      <w:pPr>
        <w:spacing w:after="200" w:line="276" w:lineRule="auto"/>
      </w:pPr>
      <w:r>
        <w:t>D. 18 months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Apgar score is assessed at</w:t>
      </w:r>
    </w:p>
    <w:p>
      <w:pPr>
        <w:spacing w:after="200" w:line="276" w:lineRule="auto"/>
      </w:pPr>
      <w:r>
        <w:t>(a) Only at birth</w:t>
      </w:r>
    </w:p>
    <w:p>
      <w:pPr>
        <w:spacing w:after="200" w:line="276" w:lineRule="auto"/>
      </w:pPr>
      <w:r>
        <w:t>(b) 24 hours after birth</w:t>
      </w:r>
    </w:p>
    <w:p>
      <w:pPr>
        <w:spacing w:after="200" w:line="276" w:lineRule="auto"/>
      </w:pPr>
      <w:r>
        <w:t>(c) 1 week after birth</w:t>
      </w:r>
    </w:p>
    <w:p>
      <w:pPr>
        <w:spacing w:after="200" w:line="276" w:lineRule="auto"/>
      </w:pPr>
      <w:r>
        <w:t>(d) 1 and 5 minutes after birth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and 5 minutes after birth</w:t>
      </w:r>
    </w:p>
    <w:p>
      <w:pPr>
        <w:spacing w:after="200" w:line="276" w:lineRule="auto"/>
      </w:pPr>
      <w:r>
        <w:t>🧠 Clinical Rationale: Apgar scoring is performed at 1 minute and 5 minutes after birth to assess the newborn's condition.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at birth — does not match the characteristic feature/management described in the stem</w:t>
      </w:r>
    </w:p>
    <w:p>
      <w:pPr>
        <w:spacing w:after="200" w:line="276" w:lineRule="auto"/>
      </w:pPr>
      <w:r>
        <w:t>B. 24 hours after birth — does not match the characteristic feature/management described in the stem</w:t>
      </w:r>
    </w:p>
    <w:p>
      <w:pPr>
        <w:spacing w:after="200" w:line="276" w:lineRule="auto"/>
      </w:pPr>
      <w:r>
        <w:t>C. 1 week after birth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management of a child with mild dehydration due to acute diarrhoea is</w:t>
      </w:r>
    </w:p>
    <w:p>
      <w:pPr>
        <w:spacing w:after="200" w:line="276" w:lineRule="auto"/>
      </w:pPr>
      <w:r>
        <w:t>(a) Oral rehydration solution (ORS)</w:t>
      </w:r>
    </w:p>
    <w:p>
      <w:pPr>
        <w:spacing w:after="200" w:line="276" w:lineRule="auto"/>
      </w:pPr>
      <w:r>
        <w:t>(b) Intravenous fluids immediately</w:t>
      </w:r>
    </w:p>
    <w:p>
      <w:pPr>
        <w:spacing w:after="200" w:line="276" w:lineRule="auto"/>
      </w:pPr>
      <w:r>
        <w:t>(c) Antibiotics routinely</w:t>
      </w:r>
    </w:p>
    <w:p>
      <w:pPr>
        <w:spacing w:after="200" w:line="276" w:lineRule="auto"/>
      </w:pPr>
      <w:r>
        <w:t>(d) Antidiarrhoeal drugs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Oral rehydration solution (ORS)</w:t>
      </w:r>
    </w:p>
    <w:p>
      <w:pPr>
        <w:spacing w:after="200" w:line="276" w:lineRule="auto"/>
      </w:pPr>
      <w:r>
        <w:t>🧠 Clinical Rationale: Plan A/B of IMNCI management uses ORS to replace fluids and electrolytes lost in diarrhoea.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Intravenous fluids immediately — would be appropriate in a different situation, not this one</w:t>
      </w:r>
    </w:p>
    <w:p>
      <w:pPr>
        <w:spacing w:after="200" w:line="276" w:lineRule="auto"/>
      </w:pPr>
      <w:r>
        <w:t>C. Antibiotics routinely — would be appropriate in a different situation, not this one</w:t>
      </w:r>
    </w:p>
    <w:p>
      <w:pPr>
        <w:spacing w:after="200" w:line="276" w:lineRule="auto"/>
      </w:pPr>
      <w:r>
        <w:t>D. Antidiarrhoeal drugs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'flag sign' (alternate bands of dark and light hair) is characteristic of</w:t>
      </w:r>
    </w:p>
    <w:p>
      <w:pPr>
        <w:spacing w:after="200" w:line="276" w:lineRule="auto"/>
      </w:pPr>
      <w:r>
        <w:t>(a) Rickets</w:t>
      </w:r>
    </w:p>
    <w:p>
      <w:pPr>
        <w:spacing w:after="200" w:line="276" w:lineRule="auto"/>
      </w:pPr>
      <w:r>
        <w:t>(b) Scurvy</w:t>
      </w:r>
    </w:p>
    <w:p>
      <w:pPr>
        <w:spacing w:after="200" w:line="276" w:lineRule="auto"/>
      </w:pPr>
      <w:r>
        <w:t>(c) Marasmus</w:t>
      </w:r>
    </w:p>
    <w:p>
      <w:pPr>
        <w:spacing w:after="200" w:line="276" w:lineRule="auto"/>
      </w:pPr>
      <w:r>
        <w:t>(d) Kwashiorkor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Kwashiorkor</w:t>
      </w:r>
    </w:p>
    <w:p>
      <w:pPr>
        <w:spacing w:after="200" w:line="276" w:lineRule="auto"/>
      </w:pPr>
      <w:r>
        <w:t>🧠 Clinical Rationale: The flag sign of hair depigmentation is a classic feature of kwashiorkor due to protein deficiency.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Rickets — a related concept, but it does not match the defining feature asked</w:t>
      </w:r>
    </w:p>
    <w:p>
      <w:pPr>
        <w:spacing w:after="200" w:line="276" w:lineRule="auto"/>
      </w:pPr>
      <w:r>
        <w:t>B. Scurvy — a related concept, but it does not match the defining feature asked</w:t>
      </w:r>
    </w:p>
    <w:p>
      <w:pPr>
        <w:spacing w:after="200" w:line="276" w:lineRule="auto"/>
      </w:pPr>
      <w:r>
        <w:t>C. Marasmus — a related concept, but it does not match the defining feature asked</w:t>
      </w:r>
    </w:p>
    <w:p>
      <w:pPr>
        <w:spacing w:after="200" w:line="276" w:lineRule="auto"/>
      </w:pPr>
      <w:r>
        <w:t>⚠️ Exam Trap: Flag sign + oedema = Kwashiorkor; severe wasting WITHOUT oedema = Marasmus. The oedema is the discriminator.</w:t>
      </w:r>
    </w:p>
    <w:p>
      <w:pPr>
        <w:spacing w:after="200" w:line="276" w:lineRule="auto"/>
      </w:pPr>
      <w:r>
        <w:t>💎 PNC Pearl: Kwashiorkor = protein deficiency → oedema, 'flag sign' hair changes, moon face; marasmus = overall starvation → severe wasting.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congenital heart defect produces a 'boot-shaped' heart on X-ray?</w:t>
      </w:r>
    </w:p>
    <w:p>
      <w:pPr>
        <w:spacing w:after="200" w:line="276" w:lineRule="auto"/>
      </w:pPr>
      <w:r>
        <w:t>(a) Ventricular septal defect</w:t>
      </w:r>
    </w:p>
    <w:p>
      <w:pPr>
        <w:spacing w:after="200" w:line="276" w:lineRule="auto"/>
      </w:pPr>
      <w:r>
        <w:t>(b) Atrial septal defect</w:t>
      </w:r>
    </w:p>
    <w:p>
      <w:pPr>
        <w:spacing w:after="200" w:line="276" w:lineRule="auto"/>
      </w:pPr>
      <w:r>
        <w:t>(c) Patent ductus arteriosus</w:t>
      </w:r>
    </w:p>
    <w:p>
      <w:pPr>
        <w:spacing w:after="200" w:line="276" w:lineRule="auto"/>
      </w:pPr>
      <w:r>
        <w:t>(d) Tetralogy of Fallot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Tetralogy of Fallot</w:t>
      </w:r>
    </w:p>
    <w:p>
      <w:pPr>
        <w:spacing w:after="200" w:line="276" w:lineRule="auto"/>
      </w:pPr>
      <w:r>
        <w:t>🧠 Clinical Rationale: Tetralogy of Fallot shows the characteristic coeur-en-sabot (boot-shaped) heart on chest X-ray.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Ventricular septal defect — a related concept, but it does not match the defining feature asked</w:t>
      </w:r>
    </w:p>
    <w:p>
      <w:pPr>
        <w:spacing w:after="200" w:line="276" w:lineRule="auto"/>
      </w:pPr>
      <w:r>
        <w:t>B. Atrial septal defect — a related concept, but it does not match the defining feature asked</w:t>
      </w:r>
    </w:p>
    <w:p>
      <w:pPr>
        <w:spacing w:after="200" w:line="276" w:lineRule="auto"/>
      </w:pPr>
      <w:r>
        <w:t>C. Patent ductus arteriosus — a related concept, but it does not match the defining feature asked</w:t>
      </w:r>
    </w:p>
    <w:p>
      <w:pPr>
        <w:spacing w:after="200" w:line="276" w:lineRule="auto"/>
      </w:pPr>
      <w:r>
        <w:t>⚠️ Exam Trap: Boot-shaped heart + cyanosis = Tetralogy of Fallot; not VSD/ASD/PDA (acyanotic, different X-ray findings).</w:t>
      </w:r>
    </w:p>
    <w:p>
      <w:pPr>
        <w:spacing w:after="200" w:line="276" w:lineRule="auto"/>
      </w:pPr>
      <w:r>
        <w:t>💎 PNC Pearl: Tetralogy of Fallot = 4 defects (PS, VSD, overriding aorta, RVH) → boot-shaped heart on X-ray, squatting, cyanotic spells.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Tetralogy of Fallot</w:t>
      </w:r>
    </w:p>
    <w:p>
      <w:pPr>
        <w:spacing w:after="200" w:line="276" w:lineRule="auto"/>
      </w:pPr>
      <w:r>
        <w:t>→ 4 defects: Pulmonary stenosis, VSD, Overriding aorta, RV hypertrophy</w:t>
      </w:r>
    </w:p>
    <w:p>
      <w:pPr>
        <w:spacing w:after="200" w:line="276" w:lineRule="auto"/>
      </w:pPr>
      <w:r>
        <w:t>→ Clues: cyanosis, squatting, clubbing, boot-shaped heart (coeur en sabot)</w:t>
      </w:r>
    </w:p>
    <w:p>
      <w:pPr>
        <w:spacing w:after="200" w:line="276" w:lineRule="auto"/>
      </w:pPr>
      <w:r>
        <w:t>→ Tet spell: knee-chest position + oxygen + morphine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concept of Primary Health Care was endorsed at the Alma-Ata Declaration in</w:t>
      </w:r>
    </w:p>
    <w:p>
      <w:pPr>
        <w:spacing w:after="200" w:line="276" w:lineRule="auto"/>
      </w:pPr>
      <w:r>
        <w:t>(a) 1968</w:t>
      </w:r>
    </w:p>
    <w:p>
      <w:pPr>
        <w:spacing w:after="200" w:line="276" w:lineRule="auto"/>
      </w:pPr>
      <w:r>
        <w:t>(b) 1978</w:t>
      </w:r>
    </w:p>
    <w:p>
      <w:pPr>
        <w:spacing w:after="200" w:line="276" w:lineRule="auto"/>
      </w:pPr>
      <w:r>
        <w:t>(c) 1988</w:t>
      </w:r>
    </w:p>
    <w:p>
      <w:pPr>
        <w:spacing w:after="200" w:line="276" w:lineRule="auto"/>
      </w:pPr>
      <w:r>
        <w:t>(d) 1998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1978</w:t>
      </w:r>
    </w:p>
    <w:p>
      <w:pPr>
        <w:spacing w:after="200" w:line="276" w:lineRule="auto"/>
      </w:pPr>
      <w:r>
        <w:t>🧠 Clinical Rationale: The Alma-Ata International Conference on Primary Health Care was held in 1978.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Immunization against a disease is an example of which level of prevention?</w:t>
      </w:r>
    </w:p>
    <w:p>
      <w:pPr>
        <w:spacing w:after="200" w:line="276" w:lineRule="auto"/>
      </w:pPr>
      <w:r>
        <w:t>(a) Primary prevention</w:t>
      </w:r>
    </w:p>
    <w:p>
      <w:pPr>
        <w:spacing w:after="200" w:line="276" w:lineRule="auto"/>
      </w:pPr>
      <w:r>
        <w:t>(b) Secondary prevention</w:t>
      </w:r>
    </w:p>
    <w:p>
      <w:pPr>
        <w:spacing w:after="200" w:line="276" w:lineRule="auto"/>
      </w:pPr>
      <w:r>
        <w:t>(c) Tertiary prevention</w:t>
      </w:r>
    </w:p>
    <w:p>
      <w:pPr>
        <w:spacing w:after="200" w:line="276" w:lineRule="auto"/>
      </w:pPr>
      <w:r>
        <w:t>(d) Quaternary prevention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Primary prevention</w:t>
      </w:r>
    </w:p>
    <w:p>
      <w:pPr>
        <w:spacing w:after="200" w:line="276" w:lineRule="auto"/>
      </w:pPr>
      <w:r>
        <w:t>🧠 Clinical Rationale: Immunization prevents disease occurrence, hence it is primary prevention.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Secondary prevention — a related concept, but it does not match the defining feature asked</w:t>
      </w:r>
    </w:p>
    <w:p>
      <w:pPr>
        <w:spacing w:after="200" w:line="276" w:lineRule="auto"/>
      </w:pPr>
      <w:r>
        <w:t>C. Tertiary prevention — a related concept, but it does not match the defining feature asked</w:t>
      </w:r>
    </w:p>
    <w:p>
      <w:pPr>
        <w:spacing w:after="200" w:line="276" w:lineRule="auto"/>
      </w:pPr>
      <w:r>
        <w:t>D. Quaternary prevention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Health Mission (NHM) comprises which two sub-missions?</w:t>
      </w:r>
    </w:p>
    <w:p>
      <w:pPr>
        <w:spacing w:after="200" w:line="276" w:lineRule="auto"/>
      </w:pPr>
      <w:r>
        <w:t>(a) NACP and RNTCP</w:t>
      </w:r>
    </w:p>
    <w:p>
      <w:pPr>
        <w:spacing w:after="200" w:line="276" w:lineRule="auto"/>
      </w:pPr>
      <w:r>
        <w:t>(b) RCH and NIDDCP</w:t>
      </w:r>
    </w:p>
    <w:p>
      <w:pPr>
        <w:spacing w:after="200" w:line="276" w:lineRule="auto"/>
      </w:pPr>
      <w:r>
        <w:t>(c) NRHM and NRHM-Urban (NUHM)</w:t>
      </w:r>
    </w:p>
    <w:p>
      <w:pPr>
        <w:spacing w:after="200" w:line="276" w:lineRule="auto"/>
      </w:pPr>
      <w:r>
        <w:t>(d) NLEP and NTCP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NRHM and NRHM-Urban (NUHM)</w:t>
      </w:r>
    </w:p>
    <w:p>
      <w:pPr>
        <w:spacing w:after="200" w:line="276" w:lineRule="auto"/>
      </w:pPr>
      <w:r>
        <w:t>🧠 Clinical Rationale: NHM combines the National Rural Health Mission (NRHM) and the National Urban Health Mission (NUHM).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NACP and RNTCP — plausible, but not the single most accurate fact asked</w:t>
      </w:r>
    </w:p>
    <w:p>
      <w:pPr>
        <w:spacing w:after="200" w:line="276" w:lineRule="auto"/>
      </w:pPr>
      <w:r>
        <w:t>B. RCH and NIDDCP — plausible, but not the single most accurate fact asked</w:t>
      </w:r>
    </w:p>
    <w:p>
      <w:pPr>
        <w:spacing w:after="200" w:line="276" w:lineRule="auto"/>
      </w:pPr>
      <w:r>
        <w:t>D. NLEP and NTCP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 Mortality Rate is defined as the number of infant deaths per</w:t>
      </w:r>
    </w:p>
    <w:p>
      <w:pPr>
        <w:spacing w:after="200" w:line="276" w:lineRule="auto"/>
      </w:pPr>
      <w:r>
        <w:t>(a) 100 live births</w:t>
      </w:r>
    </w:p>
    <w:p>
      <w:pPr>
        <w:spacing w:after="200" w:line="276" w:lineRule="auto"/>
      </w:pPr>
      <w:r>
        <w:t>(b) 1000 live births</w:t>
      </w:r>
    </w:p>
    <w:p>
      <w:pPr>
        <w:spacing w:after="200" w:line="276" w:lineRule="auto"/>
      </w:pPr>
      <w:r>
        <w:t>(c) 10,000 live births</w:t>
      </w:r>
    </w:p>
    <w:p>
      <w:pPr>
        <w:spacing w:after="200" w:line="276" w:lineRule="auto"/>
      </w:pPr>
      <w:r>
        <w:t>(d) 1000 total population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1000 live births</w:t>
      </w:r>
    </w:p>
    <w:p>
      <w:pPr>
        <w:spacing w:after="200" w:line="276" w:lineRule="auto"/>
      </w:pPr>
      <w:r>
        <w:t>🧠 Clinical Rationale: IMR is the number of deaths under one year of age per 1000 live births in a given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live births — a related concept, but it does not match the defining feature asked</w:t>
      </w:r>
    </w:p>
    <w:p>
      <w:pPr>
        <w:spacing w:after="200" w:line="276" w:lineRule="auto"/>
      </w:pPr>
      <w:r>
        <w:t>C. 10,000 live births — a related concept, but it does not match the defining feature asked</w:t>
      </w:r>
    </w:p>
    <w:p>
      <w:pPr>
        <w:spacing w:after="200" w:line="276" w:lineRule="auto"/>
      </w:pPr>
      <w:r>
        <w:t>D. 1000 total population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Dengue fever is transmitted by the bite of</w:t>
      </w:r>
    </w:p>
    <w:p>
      <w:pPr>
        <w:spacing w:after="200" w:line="276" w:lineRule="auto"/>
      </w:pPr>
      <w:r>
        <w:t>(a) Anopheles mosquito</w:t>
      </w:r>
    </w:p>
    <w:p>
      <w:pPr>
        <w:spacing w:after="200" w:line="276" w:lineRule="auto"/>
      </w:pPr>
      <w:r>
        <w:t>(b) Culex mosquito</w:t>
      </w:r>
    </w:p>
    <w:p>
      <w:pPr>
        <w:spacing w:after="200" w:line="276" w:lineRule="auto"/>
      </w:pPr>
      <w:r>
        <w:t>(c) Aedes aegypti mosquito</w:t>
      </w:r>
    </w:p>
    <w:p>
      <w:pPr>
        <w:spacing w:after="200" w:line="276" w:lineRule="auto"/>
      </w:pPr>
      <w:r>
        <w:t>(d) Sandfly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Aedes aegypti mosquito</w:t>
      </w:r>
    </w:p>
    <w:p>
      <w:pPr>
        <w:spacing w:after="200" w:line="276" w:lineRule="auto"/>
      </w:pPr>
      <w:r>
        <w:t>🧠 Clinical Rationale: Aedes aegypti, which bites during the day, transmits dengue, chikungunya and Zika viruses.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Anopheles mosquito — a related concept, but it does not match the defining feature asked</w:t>
      </w:r>
    </w:p>
    <w:p>
      <w:pPr>
        <w:spacing w:after="200" w:line="276" w:lineRule="auto"/>
      </w:pPr>
      <w:r>
        <w:t>B. Culex mosquito — a related concept, but it does not match the defining feature asked</w:t>
      </w:r>
    </w:p>
    <w:p>
      <w:pPr>
        <w:spacing w:after="200" w:line="276" w:lineRule="auto"/>
      </w:pPr>
      <w:r>
        <w:t>D. Sandfly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disease is primarily prevented by safe disposal of excreta and sanitation?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Scabies</w:t>
      </w:r>
    </w:p>
    <w:p>
      <w:pPr>
        <w:spacing w:after="200" w:line="276" w:lineRule="auto"/>
      </w:pPr>
      <w:r>
        <w:t>(c) Cholera</w:t>
      </w:r>
    </w:p>
    <w:p>
      <w:pPr>
        <w:spacing w:after="200" w:line="276" w:lineRule="auto"/>
      </w:pPr>
      <w:r>
        <w:t>(d) Trachoma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Cholera</w:t>
      </w:r>
    </w:p>
    <w:p>
      <w:pPr>
        <w:spacing w:after="200" w:line="276" w:lineRule="auto"/>
      </w:pPr>
      <w:r>
        <w:t>🧠 Clinical Rationale: Faeco-orally transmitted diseases such as cholera, typhoid and diarrhoea are prevented by safe excreta disposal.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a related concept, but it does not match the defining feature asked</w:t>
      </w:r>
    </w:p>
    <w:p>
      <w:pPr>
        <w:spacing w:after="200" w:line="276" w:lineRule="auto"/>
      </w:pPr>
      <w:r>
        <w:t>B. Scabies — a related concept, but it does not match the defining feature asked</w:t>
      </w:r>
    </w:p>
    <w:p>
      <w:pPr>
        <w:spacing w:after="200" w:line="276" w:lineRule="auto"/>
      </w:pPr>
      <w:r>
        <w:t>D. Trachoma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sign indicates digoxin toxicity in a patient?</w:t>
      </w:r>
    </w:p>
    <w:p>
      <w:pPr>
        <w:spacing w:after="200" w:line="276" w:lineRule="auto"/>
      </w:pPr>
      <w:r>
        <w:t>(a) Polyuria</w:t>
      </w:r>
    </w:p>
    <w:p>
      <w:pPr>
        <w:spacing w:after="200" w:line="276" w:lineRule="auto"/>
      </w:pPr>
      <w:r>
        <w:t>(b) Tremors of the hands</w:t>
      </w:r>
    </w:p>
    <w:p>
      <w:pPr>
        <w:spacing w:after="200" w:line="276" w:lineRule="auto"/>
      </w:pPr>
      <w:r>
        <w:t>(c) Increased appetite</w:t>
      </w:r>
    </w:p>
    <w:p>
      <w:pPr>
        <w:spacing w:after="200" w:line="276" w:lineRule="auto"/>
      </w:pPr>
      <w:r>
        <w:t>(d) Nausea, vomiting and yellow-green visual halos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Nausea, vomiting and yellow-green visual halos</w:t>
      </w:r>
    </w:p>
    <w:p>
      <w:pPr>
        <w:spacing w:after="200" w:line="276" w:lineRule="auto"/>
      </w:pPr>
      <w:r>
        <w:t>🧠 Clinical Rationale: GI symptoms, bradycardia and visual disturbances (yellow-green halos) are classic signs of digoxin 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Polyuria — not the correct drug/class for this indication</w:t>
      </w:r>
    </w:p>
    <w:p>
      <w:pPr>
        <w:spacing w:after="200" w:line="276" w:lineRule="auto"/>
      </w:pPr>
      <w:r>
        <w:t>B. Tremors of the hands — not the correct drug/class for this indication</w:t>
      </w:r>
    </w:p>
    <w:p>
      <w:pPr>
        <w:spacing w:after="200" w:line="276" w:lineRule="auto"/>
      </w:pPr>
      <w:r>
        <w:t>C. Increased appetite — not the correct drug/class for this indication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type of insulin has the fastest onset of action?</w:t>
      </w:r>
    </w:p>
    <w:p>
      <w:pPr>
        <w:spacing w:after="200" w:line="276" w:lineRule="auto"/>
      </w:pPr>
      <w:r>
        <w:t>(a) Lispro (rapid-acting)</w:t>
      </w:r>
    </w:p>
    <w:p>
      <w:pPr>
        <w:spacing w:after="200" w:line="276" w:lineRule="auto"/>
      </w:pPr>
      <w:r>
        <w:t>(b) Regular insulin</w:t>
      </w:r>
    </w:p>
    <w:p>
      <w:pPr>
        <w:spacing w:after="200" w:line="276" w:lineRule="auto"/>
      </w:pPr>
      <w:r>
        <w:t>(c) NPH insulin</w:t>
      </w:r>
    </w:p>
    <w:p>
      <w:pPr>
        <w:spacing w:after="200" w:line="276" w:lineRule="auto"/>
      </w:pPr>
      <w:r>
        <w:t>(d) Glargine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Lispro (rapid-acting)</w:t>
      </w:r>
    </w:p>
    <w:p>
      <w:pPr>
        <w:spacing w:after="200" w:line="276" w:lineRule="auto"/>
      </w:pPr>
      <w:r>
        <w:t>🧠 Clinical Rationale: Rapid-acting analogues (lispro, aspart) act within 10–15 minutes of subcutaneous injection.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Regular insulin — not the correct drug/class for this indication</w:t>
      </w:r>
    </w:p>
    <w:p>
      <w:pPr>
        <w:spacing w:after="200" w:line="276" w:lineRule="auto"/>
      </w:pPr>
      <w:r>
        <w:t>C. NPH insulin — not the correct drug/class for this indication</w:t>
      </w:r>
    </w:p>
    <w:p>
      <w:pPr>
        <w:spacing w:after="200" w:line="276" w:lineRule="auto"/>
      </w:pPr>
      <w:r>
        <w:t>D. Glargine — not the correct drug/class for this indication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Penicillin acts by inhibiting</w:t>
      </w:r>
    </w:p>
    <w:p>
      <w:pPr>
        <w:spacing w:after="200" w:line="276" w:lineRule="auto"/>
      </w:pPr>
      <w:r>
        <w:t>(a) Protein synthesis</w:t>
      </w:r>
    </w:p>
    <w:p>
      <w:pPr>
        <w:spacing w:after="200" w:line="276" w:lineRule="auto"/>
      </w:pPr>
      <w:r>
        <w:t>(b) DNA gyrase</w:t>
      </w:r>
    </w:p>
    <w:p>
      <w:pPr>
        <w:spacing w:after="200" w:line="276" w:lineRule="auto"/>
      </w:pPr>
      <w:r>
        <w:t>(c) Bacterial cell wall synthesis</w:t>
      </w:r>
    </w:p>
    <w:p>
      <w:pPr>
        <w:spacing w:after="200" w:line="276" w:lineRule="auto"/>
      </w:pPr>
      <w:r>
        <w:t>(d) Folic acid synthesis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Bacterial cell wall synthesis</w:t>
      </w:r>
    </w:p>
    <w:p>
      <w:pPr>
        <w:spacing w:after="200" w:line="276" w:lineRule="auto"/>
      </w:pPr>
      <w:r>
        <w:t>🧠 Clinical Rationale: Penicillins are beta-lactam antibiotics that block bacterial cell wall (peptidoglycan) synthesis.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Protein synthesis — not the correct drug/class for this indication</w:t>
      </w:r>
    </w:p>
    <w:p>
      <w:pPr>
        <w:spacing w:after="200" w:line="276" w:lineRule="auto"/>
      </w:pPr>
      <w:r>
        <w:t>B. DNA gyrase — not the correct drug/class for this indication</w:t>
      </w:r>
    </w:p>
    <w:p>
      <w:pPr>
        <w:spacing w:after="200" w:line="276" w:lineRule="auto"/>
      </w:pPr>
      <w:r>
        <w:t>D. Folic acid synthesis — not the correct drug/class for this indication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should monitor which adverse effect most carefully when giving morphine?</w:t>
      </w:r>
    </w:p>
    <w:p>
      <w:pPr>
        <w:spacing w:after="200" w:line="276" w:lineRule="auto"/>
      </w:pPr>
      <w:r>
        <w:t>(a) Respiratory depression</w:t>
      </w:r>
    </w:p>
    <w:p>
      <w:pPr>
        <w:spacing w:after="200" w:line="276" w:lineRule="auto"/>
      </w:pPr>
      <w:r>
        <w:t>(b) Tachycardia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Hypertension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Respiratory depression</w:t>
      </w:r>
    </w:p>
    <w:p>
      <w:pPr>
        <w:spacing w:after="200" w:line="276" w:lineRule="auto"/>
      </w:pPr>
      <w:r>
        <w:t>🧠 Clinical Rationale: Morphine depresses the respiratory centre; respirations below 12/min require immediate attention.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Tachycardia — not the correct drug/class for this indication</w:t>
      </w:r>
    </w:p>
    <w:p>
      <w:pPr>
        <w:spacing w:after="200" w:line="276" w:lineRule="auto"/>
      </w:pPr>
      <w:r>
        <w:t>C. Diarrhoea — not the correct drug/class for this indication</w:t>
      </w:r>
    </w:p>
    <w:p>
      <w:pPr>
        <w:spacing w:after="200" w:line="276" w:lineRule="auto"/>
      </w:pPr>
      <w:r>
        <w:t>D. Hypertension — not the correct drug/class for this indication</w:t>
      </w:r>
    </w:p>
    <w:p>
      <w:pPr>
        <w:spacing w:after="200" w:line="276" w:lineRule="auto"/>
      </w:pPr>
      <w:r>
        <w:t>⚠️ Exam Trap: The morphine option is tested as: respiratory depression (monitor RR) + naloxone antidote — not tachycardia or hypertension.</w:t>
      </w:r>
    </w:p>
    <w:p>
      <w:pPr>
        <w:spacing w:after="200" w:line="276" w:lineRule="auto"/>
      </w:pPr>
      <w:r>
        <w:t>💎 PNC Pearl: Morphine's most dangerous adverse effect is respiratory depression — monitor rate &lt; 12/min; antidote is naloxone.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Morphine</w:t>
      </w:r>
    </w:p>
    <w:p>
      <w:pPr>
        <w:spacing w:after="200" w:line="276" w:lineRule="auto"/>
      </w:pPr>
      <w:r>
        <w:t>→ Major adverse effect: Respiratory depression (RR &lt; 12/min)</w:t>
      </w:r>
    </w:p>
    <w:p>
      <w:pPr>
        <w:spacing w:after="200" w:line="276" w:lineRule="auto"/>
      </w:pPr>
      <w:r>
        <w:t>→ Antidote: Naloxone (Narcan)</w:t>
      </w:r>
    </w:p>
    <w:p>
      <w:pPr>
        <w:spacing w:after="200" w:line="276" w:lineRule="auto"/>
      </w:pPr>
      <w:r>
        <w:t>→ Other effects: constipation, sedation, orthostatic hypotension, urinary retention</w:t>
      </w:r>
    </w:p>
    <w:p>
      <w:pPr>
        <w:spacing w:after="200" w:line="276" w:lineRule="auto"/>
      </w:pPr>
      <w:r>
        <w:t>→ Caution in: COPD, head injury, asthma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instructs a patient on furosemide to include in the diet</w:t>
      </w:r>
    </w:p>
    <w:p>
      <w:pPr>
        <w:spacing w:after="200" w:line="276" w:lineRule="auto"/>
      </w:pPr>
      <w:r>
        <w:t>(a) Extra table salt</w:t>
      </w:r>
    </w:p>
    <w:p>
      <w:pPr>
        <w:spacing w:after="200" w:line="276" w:lineRule="auto"/>
      </w:pPr>
      <w:r>
        <w:t>(b) High-sodium snacks</w:t>
      </w:r>
    </w:p>
    <w:p>
      <w:pPr>
        <w:spacing w:after="200" w:line="276" w:lineRule="auto"/>
      </w:pPr>
      <w:r>
        <w:t>(c) Potassium-rich foods such as bananas and oranges</w:t>
      </w:r>
    </w:p>
    <w:p>
      <w:pPr>
        <w:spacing w:after="200" w:line="276" w:lineRule="auto"/>
      </w:pPr>
      <w:r>
        <w:t>(d) Canned foods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Potassium-rich foods such as bananas and oranges</w:t>
      </w:r>
    </w:p>
    <w:p>
      <w:pPr>
        <w:spacing w:after="200" w:line="276" w:lineRule="auto"/>
      </w:pPr>
      <w:r>
        <w:t>🧠 Clinical Rationale: Loop diuretics cause hypokalaemia, so potassium-rich foods must be encouraged.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Extra table salt — not the correct drug/class for this indication</w:t>
      </w:r>
    </w:p>
    <w:p>
      <w:pPr>
        <w:spacing w:after="200" w:line="276" w:lineRule="auto"/>
      </w:pPr>
      <w:r>
        <w:t>B. High-sodium snacks — not the correct drug/class for this indication</w:t>
      </w:r>
    </w:p>
    <w:p>
      <w:pPr>
        <w:spacing w:after="200" w:line="276" w:lineRule="auto"/>
      </w:pPr>
      <w:r>
        <w:t>D. Canned foods — not the correct drug/class for this indication</w:t>
      </w:r>
    </w:p>
    <w:p>
      <w:pPr>
        <w:spacing w:after="200" w:line="276" w:lineRule="auto"/>
      </w:pPr>
      <w:r>
        <w:t>⚠️ Exam Trap: Furosemide causes potassium LOSS — the diet advice is to ADD potassium-rich foods, not salt or potassium-wasting items.</w:t>
      </w:r>
    </w:p>
    <w:p>
      <w:pPr>
        <w:spacing w:after="200" w:line="276" w:lineRule="auto"/>
      </w:pPr>
      <w:r>
        <w:t>💎 PNC Pearl: Loop diuretics (furosemide) cause hypokalaemia — encourage potassium-rich foods (banana, orange, potato).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Furosemide (loop diuretic)</w:t>
      </w:r>
    </w:p>
    <w:p>
      <w:pPr>
        <w:spacing w:after="200" w:line="276" w:lineRule="auto"/>
      </w:pPr>
      <w:r>
        <w:t>→ Adverse effects: hypokalaemia, hyponatraemia, dehydration, ototoxicity (rapid IV)</w:t>
      </w:r>
    </w:p>
    <w:p>
      <w:pPr>
        <w:spacing w:after="200" w:line="276" w:lineRule="auto"/>
      </w:pPr>
      <w:r>
        <w:t>→ Monitor: I/O, daily weight, electrolytes (K+), BP</w:t>
      </w:r>
    </w:p>
    <w:p>
      <w:pPr>
        <w:spacing w:after="200" w:line="276" w:lineRule="auto"/>
      </w:pPr>
      <w:r>
        <w:t>→ Give in the morning to avoid nocturia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fastest route of drug absorption is</w:t>
      </w:r>
    </w:p>
    <w:p>
      <w:pPr>
        <w:spacing w:after="200" w:line="276" w:lineRule="auto"/>
      </w:pPr>
      <w:r>
        <w:t>(a) Oral</w:t>
      </w:r>
    </w:p>
    <w:p>
      <w:pPr>
        <w:spacing w:after="200" w:line="276" w:lineRule="auto"/>
      </w:pPr>
      <w:r>
        <w:t>(b) Intravenous</w:t>
      </w:r>
    </w:p>
    <w:p>
      <w:pPr>
        <w:spacing w:after="200" w:line="276" w:lineRule="auto"/>
      </w:pPr>
      <w:r>
        <w:t>(c) Subcutaneous</w:t>
      </w:r>
    </w:p>
    <w:p>
      <w:pPr>
        <w:spacing w:after="200" w:line="276" w:lineRule="auto"/>
      </w:pPr>
      <w:r>
        <w:t>(d) Topical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Intravenous</w:t>
      </w:r>
    </w:p>
    <w:p>
      <w:pPr>
        <w:spacing w:after="200" w:line="276" w:lineRule="auto"/>
      </w:pPr>
      <w:r>
        <w:t>🧠 Clinical Rationale: IV administration delivers the drug directly into the bloodstream, giving the most rapid effect.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