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Delirium is characterized by</w:t>
      </w:r>
    </w:p>
    <w:p>
      <w:pPr>
        <w:spacing w:after="200" w:line="276" w:lineRule="auto"/>
      </w:pPr>
      <w:r>
        <w:t>(a) Slow progressive memory loss</w:t>
      </w:r>
    </w:p>
    <w:p>
      <w:pPr>
        <w:spacing w:after="200" w:line="276" w:lineRule="auto"/>
      </w:pPr>
      <w:r>
        <w:t>(b) Stable personality change</w:t>
      </w:r>
    </w:p>
    <w:p>
      <w:pPr>
        <w:spacing w:after="200" w:line="276" w:lineRule="auto"/>
      </w:pPr>
      <w:r>
        <w:t>(c) Persistent hallucinations only</w:t>
      </w:r>
    </w:p>
    <w:p>
      <w:pPr>
        <w:spacing w:after="200" w:line="276" w:lineRule="auto"/>
      </w:pPr>
      <w:r>
        <w:t>(d) Acute fluctuating confusion with altered consciousness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Acute fluctuating confusion with altered consciousness</w:t>
      </w:r>
    </w:p>
    <w:p>
      <w:pPr>
        <w:spacing w:after="200" w:line="276" w:lineRule="auto"/>
      </w:pPr>
      <w:r>
        <w:t>🧠 Clinical Rationale: Delirium has an acute onset with fluctuating attention, disorientation and often agitation.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 progressive memory loss — does not match the characteristic feature/management described in the stem</w:t>
      </w:r>
    </w:p>
    <w:p>
      <w:pPr>
        <w:spacing w:after="200" w:line="276" w:lineRule="auto"/>
      </w:pPr>
      <w:r>
        <w:t>B. Stable personality change — does not match the characteristic feature/management described in the stem</w:t>
      </w:r>
    </w:p>
    <w:p>
      <w:pPr>
        <w:spacing w:after="200" w:line="276" w:lineRule="auto"/>
      </w:pPr>
      <w:r>
        <w:t>C. Persistent hallucinations only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cause of dementia in the elderly is</w:t>
      </w:r>
    </w:p>
    <w:p>
      <w:pPr>
        <w:spacing w:after="200" w:line="276" w:lineRule="auto"/>
      </w:pPr>
      <w:r>
        <w:t>(a) Schizophrenia</w:t>
      </w:r>
    </w:p>
    <w:p>
      <w:pPr>
        <w:spacing w:after="200" w:line="276" w:lineRule="auto"/>
      </w:pPr>
      <w:r>
        <w:t>(b) Bipolar disorder</w:t>
      </w:r>
    </w:p>
    <w:p>
      <w:pPr>
        <w:spacing w:after="200" w:line="276" w:lineRule="auto"/>
      </w:pPr>
      <w:r>
        <w:t>(c) Alzheimer's disease</w:t>
      </w:r>
    </w:p>
    <w:p>
      <w:pPr>
        <w:spacing w:after="200" w:line="276" w:lineRule="auto"/>
      </w:pPr>
      <w:r>
        <w:t>(d) Epilepsy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Alzheimer's disease</w:t>
      </w:r>
    </w:p>
    <w:p>
      <w:pPr>
        <w:spacing w:after="200" w:line="276" w:lineRule="auto"/>
      </w:pPr>
      <w:r>
        <w:t>🧠 Clinical Rationale: Alzheimer's disease accounts for 60–70% of dementia cases.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Schizophrenia — does not match the characteristic feature/management described in the stem</w:t>
      </w:r>
    </w:p>
    <w:p>
      <w:pPr>
        <w:spacing w:after="200" w:line="276" w:lineRule="auto"/>
      </w:pPr>
      <w:r>
        <w:t>B. Bipolar disorder — does not match the characteristic feature/management described in the stem</w:t>
      </w:r>
    </w:p>
    <w:p>
      <w:pPr>
        <w:spacing w:after="200" w:line="276" w:lineRule="auto"/>
      </w:pPr>
      <w:r>
        <w:t>D. Epilepsy — does not match the characteristic feature/management described in the stem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chronic alcoholic who develops tremors, hallucinations and agitation within 48–72 hours of stopping drinking is showing</w:t>
      </w:r>
    </w:p>
    <w:p>
      <w:pPr>
        <w:spacing w:after="200" w:line="276" w:lineRule="auto"/>
      </w:pPr>
      <w:r>
        <w:t>(a) Simple intoxication</w:t>
      </w:r>
    </w:p>
    <w:p>
      <w:pPr>
        <w:spacing w:after="200" w:line="276" w:lineRule="auto"/>
      </w:pPr>
      <w:r>
        <w:t>(b) Drug allergy</w:t>
      </w:r>
    </w:p>
    <w:p>
      <w:pPr>
        <w:spacing w:after="200" w:line="276" w:lineRule="auto"/>
      </w:pPr>
      <w:r>
        <w:t>(c) Delirium tremens</w:t>
      </w:r>
    </w:p>
    <w:p>
      <w:pPr>
        <w:spacing w:after="200" w:line="276" w:lineRule="auto"/>
      </w:pPr>
      <w:r>
        <w:t>(d) Heat stroke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Delirium tremens</w:t>
      </w:r>
    </w:p>
    <w:p>
      <w:pPr>
        <w:spacing w:after="200" w:line="276" w:lineRule="auto"/>
      </w:pPr>
      <w:r>
        <w:t>🧠 Clinical Rationale: Delirium tremens is a life-threatening alcohol withdrawal emergency needing sedation and close monitoring.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72 hours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Tremens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Delirium tremens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intoxication — does not address the immediate life-threatening problem (ABC comes first)</w:t>
      </w:r>
    </w:p>
    <w:p>
      <w:pPr>
        <w:spacing w:after="200" w:line="276" w:lineRule="auto"/>
      </w:pPr>
      <w:r>
        <w:t>B. Drug allergy — does not address the immediate life-threatening problem (ABC comes first)</w:t>
      </w:r>
    </w:p>
    <w:p>
      <w:pPr>
        <w:spacing w:after="200" w:line="276" w:lineRule="auto"/>
      </w:pPr>
      <w:r>
        <w:t>D. Heat stroke — does not address the immediate life-threatening problem (ABC comes first)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Cognitive behavioural therapy focuses mainly on</w:t>
      </w:r>
    </w:p>
    <w:p>
      <w:pPr>
        <w:spacing w:after="200" w:line="276" w:lineRule="auto"/>
      </w:pPr>
      <w:r>
        <w:t>(a) Changing maladaptive thoughts and behaviours</w:t>
      </w:r>
    </w:p>
    <w:p>
      <w:pPr>
        <w:spacing w:after="200" w:line="276" w:lineRule="auto"/>
      </w:pPr>
      <w:r>
        <w:t>(b) Only drug prescriptions</w:t>
      </w:r>
    </w:p>
    <w:p>
      <w:pPr>
        <w:spacing w:after="200" w:line="276" w:lineRule="auto"/>
      </w:pPr>
      <w:r>
        <w:t>(c) Hypnosis only</w:t>
      </w:r>
    </w:p>
    <w:p>
      <w:pPr>
        <w:spacing w:after="200" w:line="276" w:lineRule="auto"/>
      </w:pPr>
      <w:r>
        <w:t>(d) Physical exercise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Changing maladaptive thoughts and behaviours</w:t>
      </w:r>
    </w:p>
    <w:p>
      <w:pPr>
        <w:spacing w:after="200" w:line="276" w:lineRule="auto"/>
      </w:pPr>
      <w:r>
        <w:t>🧠 Clinical Rationale: CBT identifies and modifies dysfunctional thoughts and behaviours to relieve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drug prescriptions — a related concept, but it does not match the defining feature asked</w:t>
      </w:r>
    </w:p>
    <w:p>
      <w:pPr>
        <w:spacing w:after="200" w:line="276" w:lineRule="auto"/>
      </w:pPr>
      <w:r>
        <w:t>C. Hypnosis only — a related concept, but it does not match the defining feature asked</w:t>
      </w:r>
    </w:p>
    <w:p>
      <w:pPr>
        <w:spacing w:after="200" w:line="276" w:lineRule="auto"/>
      </w:pPr>
      <w:r>
        <w:t>D. Physical exercise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valve between the left atrium and left ventricle is the</w:t>
      </w:r>
    </w:p>
    <w:p>
      <w:pPr>
        <w:spacing w:after="200" w:line="276" w:lineRule="auto"/>
      </w:pPr>
      <w:r>
        <w:t>(a) Tricuspid valve</w:t>
      </w:r>
    </w:p>
    <w:p>
      <w:pPr>
        <w:spacing w:after="200" w:line="276" w:lineRule="auto"/>
      </w:pPr>
      <w:r>
        <w:t>(b) Pulmonary valve</w:t>
      </w:r>
    </w:p>
    <w:p>
      <w:pPr>
        <w:spacing w:after="200" w:line="276" w:lineRule="auto"/>
      </w:pPr>
      <w:r>
        <w:t>(c) Aortic valve</w:t>
      </w:r>
    </w:p>
    <w:p>
      <w:pPr>
        <w:spacing w:after="200" w:line="276" w:lineRule="auto"/>
      </w:pPr>
      <w:r>
        <w:t>(d) Mitral (bicuspid) valve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Mitral (bicuspid) valve</w:t>
      </w:r>
    </w:p>
    <w:p>
      <w:pPr>
        <w:spacing w:after="200" w:line="276" w:lineRule="auto"/>
      </w:pPr>
      <w:r>
        <w:t>🧠 Clinical Rationale: The bicuspid mitral valve guards the left atrioventricular opening; the tricuspid is on the right side.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Tricuspid valve — a related concept, but it does not match the defining feature asked</w:t>
      </w:r>
    </w:p>
    <w:p>
      <w:pPr>
        <w:spacing w:after="200" w:line="276" w:lineRule="auto"/>
      </w:pPr>
      <w:r>
        <w:t>B. Pulmonary valve — a related concept, but it does not match the defining feature asked</w:t>
      </w:r>
    </w:p>
    <w:p>
      <w:pPr>
        <w:spacing w:after="200" w:line="276" w:lineRule="auto"/>
      </w:pPr>
      <w:r>
        <w:t>C. Aortic valve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lifespan of a red blood cell is about</w:t>
      </w:r>
    </w:p>
    <w:p>
      <w:pPr>
        <w:spacing w:after="200" w:line="276" w:lineRule="auto"/>
      </w:pPr>
      <w:r>
        <w:t>(a) 20 days</w:t>
      </w:r>
    </w:p>
    <w:p>
      <w:pPr>
        <w:spacing w:after="200" w:line="276" w:lineRule="auto"/>
      </w:pPr>
      <w:r>
        <w:t>(b) 120 days</w:t>
      </w:r>
    </w:p>
    <w:p>
      <w:pPr>
        <w:spacing w:after="200" w:line="276" w:lineRule="auto"/>
      </w:pPr>
      <w:r>
        <w:t>(c) 300 days</w:t>
      </w:r>
    </w:p>
    <w:p>
      <w:pPr>
        <w:spacing w:after="200" w:line="276" w:lineRule="auto"/>
      </w:pPr>
      <w:r>
        <w:t>(d) 7 days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120 days</w:t>
      </w:r>
    </w:p>
    <w:p>
      <w:pPr>
        <w:spacing w:after="200" w:line="276" w:lineRule="auto"/>
      </w:pPr>
      <w:r>
        <w:t>🧠 Clinical Rationale: RBCs circulate for approximately 120 days before being destroyed in the spleen.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the outermost layer of the skin?</w:t>
      </w:r>
    </w:p>
    <w:p>
      <w:pPr>
        <w:spacing w:after="200" w:line="276" w:lineRule="auto"/>
      </w:pPr>
      <w:r>
        <w:t>(a) Dermis</w:t>
      </w:r>
    </w:p>
    <w:p>
      <w:pPr>
        <w:spacing w:after="200" w:line="276" w:lineRule="auto"/>
      </w:pPr>
      <w:r>
        <w:t>(b) Hypodermis</w:t>
      </w:r>
    </w:p>
    <w:p>
      <w:pPr>
        <w:spacing w:after="200" w:line="276" w:lineRule="auto"/>
      </w:pPr>
      <w:r>
        <w:t>(c) Subcutaneous layer</w:t>
      </w:r>
    </w:p>
    <w:p>
      <w:pPr>
        <w:spacing w:after="200" w:line="276" w:lineRule="auto"/>
      </w:pPr>
      <w:r>
        <w:t>(d) Epidermis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Epidermis</w:t>
      </w:r>
    </w:p>
    <w:p>
      <w:pPr>
        <w:spacing w:after="200" w:line="276" w:lineRule="auto"/>
      </w:pPr>
      <w:r>
        <w:t>🧠 Clinical Rationale: The epidermis is the outermost protective layer; the dermis lies beneath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Dermis — a related concept, but it does not match the defining feature asked</w:t>
      </w:r>
    </w:p>
    <w:p>
      <w:pPr>
        <w:spacing w:after="200" w:line="276" w:lineRule="auto"/>
      </w:pPr>
      <w:r>
        <w:t>B. Hypodermis — a related concept, but it does not match the defining feature asked</w:t>
      </w:r>
    </w:p>
    <w:p>
      <w:pPr>
        <w:spacing w:after="200" w:line="276" w:lineRule="auto"/>
      </w:pPr>
      <w:r>
        <w:t>C. Subcutaneous layer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number of pairs of cranial nerves in humans is</w:t>
      </w:r>
    </w:p>
    <w:p>
      <w:pPr>
        <w:spacing w:after="200" w:line="276" w:lineRule="auto"/>
      </w:pPr>
      <w:r>
        <w:t>(a) 10</w:t>
      </w:r>
    </w:p>
    <w:p>
      <w:pPr>
        <w:spacing w:after="200" w:line="276" w:lineRule="auto"/>
      </w:pPr>
      <w:r>
        <w:t>(b) 12</w:t>
      </w:r>
    </w:p>
    <w:p>
      <w:pPr>
        <w:spacing w:after="200" w:line="276" w:lineRule="auto"/>
      </w:pPr>
      <w:r>
        <w:t>(c) 31</w:t>
      </w:r>
    </w:p>
    <w:p>
      <w:pPr>
        <w:spacing w:after="200" w:line="276" w:lineRule="auto"/>
      </w:pPr>
      <w:r>
        <w:t>(d) 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</w:t>
      </w:r>
    </w:p>
    <w:p>
      <w:pPr>
        <w:spacing w:after="200" w:line="276" w:lineRule="auto"/>
      </w:pPr>
      <w:r>
        <w:t>🧠 Clinical Rationale: There are 12 pairs of cranial nerves and 31 pairs of spinal nerves.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— plausible, but not the single most accurate fact asked</w:t>
      </w:r>
    </w:p>
    <w:p>
      <w:pPr>
        <w:spacing w:after="200" w:line="276" w:lineRule="auto"/>
      </w:pPr>
      <w:r>
        <w:t>C. 31 — plausible, but not the single most accurate fact asked</w:t>
      </w:r>
    </w:p>
    <w:p>
      <w:pPr>
        <w:spacing w:after="200" w:line="276" w:lineRule="auto"/>
      </w:pPr>
      <w:r>
        <w:t>D. 8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disease is transmitted by droplet infection?</w:t>
      </w:r>
    </w:p>
    <w:p>
      <w:pPr>
        <w:spacing w:after="200" w:line="276" w:lineRule="auto"/>
      </w:pPr>
      <w:r>
        <w:t>(a) Influenza</w:t>
      </w:r>
    </w:p>
    <w:p>
      <w:pPr>
        <w:spacing w:after="200" w:line="276" w:lineRule="auto"/>
      </w:pPr>
      <w:r>
        <w:t>(b) Hepatitis B</w:t>
      </w:r>
    </w:p>
    <w:p>
      <w:pPr>
        <w:spacing w:after="200" w:line="276" w:lineRule="auto"/>
      </w:pPr>
      <w:r>
        <w:t>(c) Malaria</w:t>
      </w:r>
    </w:p>
    <w:p>
      <w:pPr>
        <w:spacing w:after="200" w:line="276" w:lineRule="auto"/>
      </w:pPr>
      <w:r>
        <w:t>(d) Tetanus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Influenza</w:t>
      </w:r>
    </w:p>
    <w:p>
      <w:pPr>
        <w:spacing w:after="200" w:line="276" w:lineRule="auto"/>
      </w:pPr>
      <w:r>
        <w:t>🧠 Clinical Rationale: Influenza, measles, mumps and meningococcal disease spread through respiratory droplets.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Hepatitis B — a related concept, but it does not match the defining feature asked</w:t>
      </w:r>
    </w:p>
    <w:p>
      <w:pPr>
        <w:spacing w:after="200" w:line="276" w:lineRule="auto"/>
      </w:pPr>
      <w:r>
        <w:t>C. Malaria — a related concept, but it does not match the defining feature asked</w:t>
      </w:r>
    </w:p>
    <w:p>
      <w:pPr>
        <w:spacing w:after="200" w:line="276" w:lineRule="auto"/>
      </w:pPr>
      <w:r>
        <w:t>D. Tetanus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Standard precautions apply to</w:t>
      </w:r>
    </w:p>
    <w:p>
      <w:pPr>
        <w:spacing w:after="200" w:line="276" w:lineRule="auto"/>
      </w:pPr>
      <w:r>
        <w:t>(a) Only known infectious patients</w:t>
      </w:r>
    </w:p>
    <w:p>
      <w:pPr>
        <w:spacing w:after="200" w:line="276" w:lineRule="auto"/>
      </w:pPr>
      <w:r>
        <w:t>(b) All patients, regardless of diagnosis</w:t>
      </w:r>
    </w:p>
    <w:p>
      <w:pPr>
        <w:spacing w:after="200" w:line="276" w:lineRule="auto"/>
      </w:pPr>
      <w:r>
        <w:t>(c) Only surgical patients</w:t>
      </w:r>
    </w:p>
    <w:p>
      <w:pPr>
        <w:spacing w:after="200" w:line="276" w:lineRule="auto"/>
      </w:pPr>
      <w:r>
        <w:t>(d) Only paediatric patients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All patients, regardless of diagnosis</w:t>
      </w:r>
    </w:p>
    <w:p>
      <w:pPr>
        <w:spacing w:after="200" w:line="276" w:lineRule="auto"/>
      </w:pPr>
      <w:r>
        <w:t>🧠 Clinical Rationale: Standard precautions (hand hygiene, gloves, PPE) are applied to every patient's blood and body fluids.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known infectious patients — a related concept, but it does not match the defining feature asked</w:t>
      </w:r>
    </w:p>
    <w:p>
      <w:pPr>
        <w:spacing w:after="200" w:line="276" w:lineRule="auto"/>
      </w:pPr>
      <w:r>
        <w:t>C. Only surgical patients — a related concept, but it does not match the defining feature asked</w:t>
      </w:r>
    </w:p>
    <w:p>
      <w:pPr>
        <w:spacing w:after="200" w:line="276" w:lineRule="auto"/>
      </w:pPr>
      <w:r>
        <w:t>D. Only paediatric patients — a related concept, but it does not match the defining feature asked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MRSA is a strain of Staphylococcus aureus that is resistant to</w:t>
      </w:r>
    </w:p>
    <w:p>
      <w:pPr>
        <w:spacing w:after="200" w:line="276" w:lineRule="auto"/>
      </w:pPr>
      <w:r>
        <w:t>(a) Methicillin (and most beta-lactams)</w:t>
      </w:r>
    </w:p>
    <w:p>
      <w:pPr>
        <w:spacing w:after="200" w:line="276" w:lineRule="auto"/>
      </w:pPr>
      <w:r>
        <w:t>(b) Vancomycin</w:t>
      </w:r>
    </w:p>
    <w:p>
      <w:pPr>
        <w:spacing w:after="200" w:line="276" w:lineRule="auto"/>
      </w:pPr>
      <w:r>
        <w:t>(c) Linezolid</w:t>
      </w:r>
    </w:p>
    <w:p>
      <w:pPr>
        <w:spacing w:after="200" w:line="276" w:lineRule="auto"/>
      </w:pPr>
      <w:r>
        <w:t>(d) Chlorhexidine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Methicillin (and most beta-lactams)</w:t>
      </w:r>
    </w:p>
    <w:p>
      <w:pPr>
        <w:spacing w:after="200" w:line="276" w:lineRule="auto"/>
      </w:pPr>
      <w:r>
        <w:t>🧠 Clinical Rationale: MRSA resists methicillin and related beta-lactam antibiotics, causing difficult hospital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Vancomycin — a related concept, but it does not match the defining feature asked</w:t>
      </w:r>
    </w:p>
    <w:p>
      <w:pPr>
        <w:spacing w:after="200" w:line="276" w:lineRule="auto"/>
      </w:pPr>
      <w:r>
        <w:t>C. Linezolid — a related concept, but it does not match the defining feature asked</w:t>
      </w:r>
    </w:p>
    <w:p>
      <w:pPr>
        <w:spacing w:after="200" w:line="276" w:lineRule="auto"/>
      </w:pPr>
      <w:r>
        <w:t>D. Chlorhexidine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agent can be safely applied to living tissue?</w:t>
      </w:r>
    </w:p>
    <w:p>
      <w:pPr>
        <w:spacing w:after="200" w:line="276" w:lineRule="auto"/>
      </w:pPr>
      <w:r>
        <w:t>(a) Disinfectant</w:t>
      </w:r>
    </w:p>
    <w:p>
      <w:pPr>
        <w:spacing w:after="200" w:line="276" w:lineRule="auto"/>
      </w:pPr>
      <w:r>
        <w:t>(b) Corrosive chemical</w:t>
      </w:r>
    </w:p>
    <w:p>
      <w:pPr>
        <w:spacing w:after="200" w:line="276" w:lineRule="auto"/>
      </w:pPr>
      <w:r>
        <w:t>(c) Antiseptic</w:t>
      </w:r>
    </w:p>
    <w:p>
      <w:pPr>
        <w:spacing w:after="200" w:line="276" w:lineRule="auto"/>
      </w:pPr>
      <w:r>
        <w:t>(d) Boiling water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Antiseptic</w:t>
      </w:r>
    </w:p>
    <w:p>
      <w:pPr>
        <w:spacing w:after="200" w:line="276" w:lineRule="auto"/>
      </w:pPr>
      <w:r>
        <w:t>🧠 Clinical Rationale: Antiseptics (e.g., povidone-iodine, chlorhexidine) are safe on skin/mucosa; disinfectants are for inanimate surfaces.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Disinfectant — a related concept, but it does not match the defining feature asked</w:t>
      </w:r>
    </w:p>
    <w:p>
      <w:pPr>
        <w:spacing w:after="200" w:line="276" w:lineRule="auto"/>
      </w:pPr>
      <w:r>
        <w:t>B. Corrosive chemical — a related concept, but it does not match the defining feature asked</w:t>
      </w:r>
    </w:p>
    <w:p>
      <w:pPr>
        <w:spacing w:after="200" w:line="276" w:lineRule="auto"/>
      </w:pPr>
      <w:r>
        <w:t>D. Boiling water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Deficiency of vitamin D in children causes</w:t>
      </w:r>
    </w:p>
    <w:p>
      <w:pPr>
        <w:spacing w:after="200" w:line="276" w:lineRule="auto"/>
      </w:pPr>
      <w:r>
        <w:t>(a) Scurvy</w:t>
      </w:r>
    </w:p>
    <w:p>
      <w:pPr>
        <w:spacing w:after="200" w:line="276" w:lineRule="auto"/>
      </w:pPr>
      <w:r>
        <w:t>(b) Beriberi</w:t>
      </w:r>
    </w:p>
    <w:p>
      <w:pPr>
        <w:spacing w:after="200" w:line="276" w:lineRule="auto"/>
      </w:pPr>
      <w:r>
        <w:t>(c) Rickets</w:t>
      </w:r>
    </w:p>
    <w:p>
      <w:pPr>
        <w:spacing w:after="200" w:line="276" w:lineRule="auto"/>
      </w:pPr>
      <w:r>
        <w:t>(d) Pellagra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Rickets</w:t>
      </w:r>
    </w:p>
    <w:p>
      <w:pPr>
        <w:spacing w:after="200" w:line="276" w:lineRule="auto"/>
      </w:pPr>
      <w:r>
        <w:t>🧠 Clinical Rationale: Vitamin D deficiency causes rickets — defective bone mineralization with bowed legs.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Folic acid supplementation in early pregnancy prevents</w:t>
      </w:r>
    </w:p>
    <w:p>
      <w:pPr>
        <w:spacing w:after="200" w:line="276" w:lineRule="auto"/>
      </w:pPr>
      <w:r>
        <w:t>(a) Postpartum haemorrhage</w:t>
      </w:r>
    </w:p>
    <w:p>
      <w:pPr>
        <w:spacing w:after="200" w:line="276" w:lineRule="auto"/>
      </w:pPr>
      <w:r>
        <w:t>(b) Neural tube defects</w:t>
      </w:r>
    </w:p>
    <w:p>
      <w:pPr>
        <w:spacing w:after="200" w:line="276" w:lineRule="auto"/>
      </w:pPr>
      <w:r>
        <w:t>(c) Gestational diabetes</w:t>
      </w:r>
    </w:p>
    <w:p>
      <w:pPr>
        <w:spacing w:after="200" w:line="276" w:lineRule="auto"/>
      </w:pPr>
      <w:r>
        <w:t>(d) Preeclampsia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Neural tube defects</w:t>
      </w:r>
    </w:p>
    <w:p>
      <w:pPr>
        <w:spacing w:after="200" w:line="276" w:lineRule="auto"/>
      </w:pPr>
      <w:r>
        <w:t>🧠 Clinical Rationale: Periconceptional folic acid (400 mcg/day) reduces the risk of neural tube defects like spina bifida.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Postpartum haemorrhage — a related concept, but it does not match the defining feature asked</w:t>
      </w:r>
    </w:p>
    <w:p>
      <w:pPr>
        <w:spacing w:after="200" w:line="276" w:lineRule="auto"/>
      </w:pPr>
      <w:r>
        <w:t>C. Gestational diabetes — a related concept, but it does not match the defining feature asked</w:t>
      </w:r>
    </w:p>
    <w:p>
      <w:pPr>
        <w:spacing w:after="200" w:line="276" w:lineRule="auto"/>
      </w:pPr>
      <w:r>
        <w:t>D. Preeclampsia only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daily water requirement of a healthy adult is approximately</w:t>
      </w:r>
    </w:p>
    <w:p>
      <w:pPr>
        <w:spacing w:after="200" w:line="276" w:lineRule="auto"/>
      </w:pPr>
      <w:r>
        <w:t>(a) 500 ml</w:t>
      </w:r>
    </w:p>
    <w:p>
      <w:pPr>
        <w:spacing w:after="200" w:line="276" w:lineRule="auto"/>
      </w:pPr>
      <w:r>
        <w:t>(b) 5 litres</w:t>
      </w:r>
    </w:p>
    <w:p>
      <w:pPr>
        <w:spacing w:after="200" w:line="276" w:lineRule="auto"/>
      </w:pPr>
      <w:r>
        <w:t>(c) 2–2.5 litres</w:t>
      </w:r>
    </w:p>
    <w:p>
      <w:pPr>
        <w:spacing w:after="200" w:line="276" w:lineRule="auto"/>
      </w:pPr>
      <w:r>
        <w:t>(d) 10 litres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2–2.5 litres</w:t>
      </w:r>
    </w:p>
    <w:p>
      <w:pPr>
        <w:spacing w:after="200" w:line="276" w:lineRule="auto"/>
      </w:pPr>
      <w:r>
        <w:t>🧠 Clinical Rationale: Adults need roughly 2–2.5 litres of water daily through fluids and food.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 ml — a related concept, but it does not match the defining feature asked</w:t>
      </w:r>
    </w:p>
    <w:p>
      <w:pPr>
        <w:spacing w:after="200" w:line="276" w:lineRule="auto"/>
      </w:pPr>
      <w:r>
        <w:t>B. 5 litres — a related concept, but it does not match the defining feature asked</w:t>
      </w:r>
    </w:p>
    <w:p>
      <w:pPr>
        <w:spacing w:after="200" w:line="276" w:lineRule="auto"/>
      </w:pPr>
      <w:r>
        <w:t>D. 10 litres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BMI between 25 and 29.9 is classified as</w:t>
      </w:r>
    </w:p>
    <w:p>
      <w:pPr>
        <w:spacing w:after="200" w:line="276" w:lineRule="auto"/>
      </w:pPr>
      <w:r>
        <w:t>(a) Overweight</w:t>
      </w:r>
    </w:p>
    <w:p>
      <w:pPr>
        <w:spacing w:after="200" w:line="276" w:lineRule="auto"/>
      </w:pPr>
      <w:r>
        <w:t>(b) Normal</w:t>
      </w:r>
    </w:p>
    <w:p>
      <w:pPr>
        <w:spacing w:after="200" w:line="276" w:lineRule="auto"/>
      </w:pPr>
      <w:r>
        <w:t>(c) Obese</w:t>
      </w:r>
    </w:p>
    <w:p>
      <w:pPr>
        <w:spacing w:after="200" w:line="276" w:lineRule="auto"/>
      </w:pPr>
      <w:r>
        <w:t>(d) Underweight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Overweight</w:t>
      </w:r>
    </w:p>
    <w:p>
      <w:pPr>
        <w:spacing w:after="200" w:line="276" w:lineRule="auto"/>
      </w:pPr>
      <w:r>
        <w:t>🧠 Clinical Rationale: BMI 18.5–24.9 normal, 25–29.9 overweight, ≥30 obese.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— would result from an error in formula or unit conversion</w:t>
      </w:r>
    </w:p>
    <w:p>
      <w:pPr>
        <w:spacing w:after="200" w:line="276" w:lineRule="auto"/>
      </w:pPr>
      <w:r>
        <w:t>C. Obese — would result from an error in formula or unit conversion</w:t>
      </w:r>
    </w:p>
    <w:p>
      <w:pPr>
        <w:spacing w:after="200" w:line="276" w:lineRule="auto"/>
      </w:pPr>
      <w:r>
        <w:t>D. Underweight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randomized controlled trial, participants are assigned to groups</w:t>
      </w:r>
    </w:p>
    <w:p>
      <w:pPr>
        <w:spacing w:after="200" w:line="276" w:lineRule="auto"/>
      </w:pPr>
      <w:r>
        <w:t>(a) By the researcher's choice</w:t>
      </w:r>
    </w:p>
    <w:p>
      <w:pPr>
        <w:spacing w:after="200" w:line="276" w:lineRule="auto"/>
      </w:pPr>
      <w:r>
        <w:t>(b) By age only</w:t>
      </w:r>
    </w:p>
    <w:p>
      <w:pPr>
        <w:spacing w:after="200" w:line="276" w:lineRule="auto"/>
      </w:pPr>
      <w:r>
        <w:t>(c) By income only</w:t>
      </w:r>
    </w:p>
    <w:p>
      <w:pPr>
        <w:spacing w:after="200" w:line="276" w:lineRule="auto"/>
      </w:pPr>
      <w:r>
        <w:t>(d) Randomly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Randomly</w:t>
      </w:r>
    </w:p>
    <w:p>
      <w:pPr>
        <w:spacing w:after="200" w:line="276" w:lineRule="auto"/>
      </w:pPr>
      <w:r>
        <w:t>🧠 Clinical Rationale: Random assignment minimizes bias and is the hallmark of experimental (RCT) designs.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By the researcher's choice — a related concept, but it does not match the defining feature asked</w:t>
      </w:r>
    </w:p>
    <w:p>
      <w:pPr>
        <w:spacing w:after="200" w:line="276" w:lineRule="auto"/>
      </w:pPr>
      <w:r>
        <w:t>B. By age only — a related concept, but it does not match the defining feature asked</w:t>
      </w:r>
    </w:p>
    <w:p>
      <w:pPr>
        <w:spacing w:after="200" w:line="276" w:lineRule="auto"/>
      </w:pPr>
      <w:r>
        <w:t>C. By income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questionnaire is a</w:t>
      </w:r>
    </w:p>
    <w:p>
      <w:pPr>
        <w:spacing w:after="200" w:line="276" w:lineRule="auto"/>
      </w:pPr>
      <w:r>
        <w:t>(a) Statistical test</w:t>
      </w:r>
    </w:p>
    <w:p>
      <w:pPr>
        <w:spacing w:after="200" w:line="276" w:lineRule="auto"/>
      </w:pPr>
      <w:r>
        <w:t>(b) Sampling technique</w:t>
      </w:r>
    </w:p>
    <w:p>
      <w:pPr>
        <w:spacing w:after="200" w:line="276" w:lineRule="auto"/>
      </w:pPr>
      <w:r>
        <w:t>(c) Type of hypothesis</w:t>
      </w:r>
    </w:p>
    <w:p>
      <w:pPr>
        <w:spacing w:after="200" w:line="276" w:lineRule="auto"/>
      </w:pPr>
      <w:r>
        <w:t>(d) Data collection tool with structured questions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Data collection tool with structured questions</w:t>
      </w:r>
    </w:p>
    <w:p>
      <w:pPr>
        <w:spacing w:after="200" w:line="276" w:lineRule="auto"/>
      </w:pPr>
      <w:r>
        <w:t>🧠 Clinical Rationale: A questionnaire is a written instrument used to gather data from respondents.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Statistical test — a related concept, but it does not match the defining feature asked</w:t>
      </w:r>
    </w:p>
    <w:p>
      <w:pPr>
        <w:spacing w:after="200" w:line="276" w:lineRule="auto"/>
      </w:pPr>
      <w:r>
        <w:t>B. Sampling technique — a related concept, but it does not match the defining feature asked</w:t>
      </w:r>
    </w:p>
    <w:p>
      <w:pPr>
        <w:spacing w:after="200" w:line="276" w:lineRule="auto"/>
      </w:pPr>
      <w:r>
        <w:t>C. Type of hypothesis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mass casualty triage, a patient who needs immediate life-saving intervention is tagged</w:t>
      </w:r>
    </w:p>
    <w:p>
      <w:pPr>
        <w:spacing w:after="200" w:line="276" w:lineRule="auto"/>
      </w:pPr>
      <w:r>
        <w:t>(a) Green</w:t>
      </w:r>
    </w:p>
    <w:p>
      <w:pPr>
        <w:spacing w:after="200" w:line="276" w:lineRule="auto"/>
      </w:pPr>
      <w:r>
        <w:t>(b) Red</w:t>
      </w:r>
    </w:p>
    <w:p>
      <w:pPr>
        <w:spacing w:after="200" w:line="276" w:lineRule="auto"/>
      </w:pPr>
      <w:r>
        <w:t>(c) Yellow</w:t>
      </w:r>
    </w:p>
    <w:p>
      <w:pPr>
        <w:spacing w:after="200" w:line="276" w:lineRule="auto"/>
      </w:pPr>
      <w:r>
        <w:t>(d) Black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</w:t>
      </w:r>
    </w:p>
    <w:p>
      <w:pPr>
        <w:spacing w:after="200" w:line="276" w:lineRule="auto"/>
      </w:pPr>
      <w:r>
        <w:t>🧠 Clinical Rationale: Red = immediate/emergency, Yellow = delayed, Green = minor, Black = dead/expectant.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Triage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Green — does not address the immediate life-threatening problem (ABC comes first)</w:t>
      </w:r>
    </w:p>
    <w:p>
      <w:pPr>
        <w:spacing w:after="200" w:line="276" w:lineRule="auto"/>
      </w:pPr>
      <w:r>
        <w:t>C. Yellow — does not address the immediate life-threatening problem (ABC comes first)</w:t>
      </w:r>
    </w:p>
    <w:p>
      <w:pPr>
        <w:spacing w:after="200" w:line="276" w:lineRule="auto"/>
      </w:pPr>
      <w:r>
        <w:t>D. Black — does not address the immediate life-threatening problem (ABC comes first)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Triage</w:t>
      </w:r>
    </w:p>
    <w:p>
      <w:pPr>
        <w:spacing w:after="200" w:line="276" w:lineRule="auto"/>
      </w:pPr>
      <w:r>
        <w:t>→ RED: airway/breathing/circulation compromise, shock, severe bleeding — immediate</w:t>
      </w:r>
    </w:p>
    <w:p>
      <w:pPr>
        <w:spacing w:after="200" w:line="276" w:lineRule="auto"/>
      </w:pPr>
      <w:r>
        <w:t>→ YELLOW: serious but stable — can wait briefly</w:t>
      </w:r>
    </w:p>
    <w:p>
      <w:pPr>
        <w:spacing w:after="200" w:line="276" w:lineRule="auto"/>
      </w:pPr>
      <w:r>
        <w:t>→ GREEN: minor injuries, walking wounded</w:t>
      </w:r>
    </w:p>
    <w:p>
      <w:pPr>
        <w:spacing w:after="200" w:line="276" w:lineRule="auto"/>
      </w:pPr>
      <w:r>
        <w:t>→ BLACK: dead or injuries incompatible with life</w:t>
      </w:r>
    </w:p>
    <w:p>
      <w:pPr>
        <w:spacing w:after="200" w:line="276" w:lineRule="auto"/>
      </w:pPr>
      <w:r>
        <w:t>→ Re-triage continuously — patients can deteriorate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patient's nursing record is important because it</w:t>
      </w:r>
    </w:p>
    <w:p>
      <w:pPr>
        <w:spacing w:after="200" w:line="276" w:lineRule="auto"/>
      </w:pPr>
      <w:r>
        <w:t>(a) Serves as a legal document of care provided</w:t>
      </w:r>
    </w:p>
    <w:p>
      <w:pPr>
        <w:spacing w:after="200" w:line="276" w:lineRule="auto"/>
      </w:pPr>
      <w:r>
        <w:t>(b) Is optional in hospitals</w:t>
      </w:r>
    </w:p>
    <w:p>
      <w:pPr>
        <w:spacing w:after="200" w:line="276" w:lineRule="auto"/>
      </w:pPr>
      <w:r>
        <w:t>(c) Can be destroyed after discharge</w:t>
      </w:r>
    </w:p>
    <w:p>
      <w:pPr>
        <w:spacing w:after="200" w:line="276" w:lineRule="auto"/>
      </w:pPr>
      <w:r>
        <w:t>(d) Belongs to the nurse personally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Serves as a legal document of care provided</w:t>
      </w:r>
    </w:p>
    <w:p>
      <w:pPr>
        <w:spacing w:after="200" w:line="276" w:lineRule="auto"/>
      </w:pPr>
      <w:r>
        <w:t>🧠 Clinical Rationale: Nursing records are legal documents that support continuity, accountability and audit.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optional in hospitals — a related concept, but it does not match the defining feature asked</w:t>
      </w:r>
    </w:p>
    <w:p>
      <w:pPr>
        <w:spacing w:after="200" w:line="276" w:lineRule="auto"/>
      </w:pPr>
      <w:r>
        <w:t>C. Can be destroyed after discharge — a related concept, but it does not match the defining feature asked</w:t>
      </w:r>
    </w:p>
    <w:p>
      <w:pPr>
        <w:spacing w:after="200" w:line="276" w:lineRule="auto"/>
      </w:pPr>
      <w:r>
        <w:t>D. Belongs to the nurse personally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