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Intravenous potassium chloride must NEVER be</w:t>
      </w:r>
    </w:p>
    <w:p>
      <w:pPr>
        <w:spacing w:after="200" w:line="276" w:lineRule="auto"/>
      </w:pPr>
      <w:r>
        <w:t>(a) Given as a bolus (IV push)</w:t>
      </w:r>
    </w:p>
    <w:p>
      <w:pPr>
        <w:spacing w:after="200" w:line="276" w:lineRule="auto"/>
      </w:pPr>
      <w:r>
        <w:t>(b) Diluted in saline</w:t>
      </w:r>
    </w:p>
    <w:p>
      <w:pPr>
        <w:spacing w:after="200" w:line="276" w:lineRule="auto"/>
      </w:pPr>
      <w:r>
        <w:t>(c) Given by infusion pump</w:t>
      </w:r>
    </w:p>
    <w:p>
      <w:pPr>
        <w:spacing w:after="200" w:line="276" w:lineRule="auto"/>
      </w:pPr>
      <w:r>
        <w:t>(d) Mixed with glucose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Given as a bolus (IV push)</w:t>
      </w:r>
    </w:p>
    <w:p>
      <w:pPr>
        <w:spacing w:after="200" w:line="276" w:lineRule="auto"/>
      </w:pPr>
      <w:r>
        <w:t>🧠 Clinical Rationale: IV potassium is always diluted and infused slowly; a bolus can cause fatal cardiac arrest.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IV Potassium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Given as a bolus (IV push)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Diluted in saline — does not address the immediate life-threatening problem (ABC comes first)</w:t>
      </w:r>
    </w:p>
    <w:p>
      <w:pPr>
        <w:spacing w:after="200" w:line="276" w:lineRule="auto"/>
      </w:pPr>
      <w:r>
        <w:t>C. Given by infusion pump — does not address the immediate life-threatening problem (ABC comes first)</w:t>
      </w:r>
    </w:p>
    <w:p>
      <w:pPr>
        <w:spacing w:after="200" w:line="276" w:lineRule="auto"/>
      </w:pPr>
      <w:r>
        <w:t>D. Mixed with glucose — does not address the immediate life-threatening problem (ABC comes first)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Unopened insulin vials should be stored</w:t>
      </w:r>
    </w:p>
    <w:p>
      <w:pPr>
        <w:spacing w:after="200" w:line="276" w:lineRule="auto"/>
      </w:pPr>
      <w:r>
        <w:t>(a) In the freezer</w:t>
      </w:r>
    </w:p>
    <w:p>
      <w:pPr>
        <w:spacing w:after="200" w:line="276" w:lineRule="auto"/>
      </w:pPr>
      <w:r>
        <w:t>(b) In direct sunlight</w:t>
      </w:r>
    </w:p>
    <w:p>
      <w:pPr>
        <w:spacing w:after="200" w:line="276" w:lineRule="auto"/>
      </w:pPr>
      <w:r>
        <w:t>(c) In the car glovebox</w:t>
      </w:r>
    </w:p>
    <w:p>
      <w:pPr>
        <w:spacing w:after="200" w:line="276" w:lineRule="auto"/>
      </w:pPr>
      <w:r>
        <w:t>(d) In the refrigerator (2–8°C)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 the refrigerator (2–8°C)</w:t>
      </w:r>
    </w:p>
    <w:p>
      <w:pPr>
        <w:spacing w:after="200" w:line="276" w:lineRule="auto"/>
      </w:pPr>
      <w:r>
        <w:t>🧠 Clinical Rationale: Unopened insulin is refrigerated; opened vials may be kept at room temperature for up to 28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 the freezer — not the correct drug/class for this indication</w:t>
      </w:r>
    </w:p>
    <w:p>
      <w:pPr>
        <w:spacing w:after="200" w:line="276" w:lineRule="auto"/>
      </w:pPr>
      <w:r>
        <w:t>B. In direct sunlight — not the correct drug/class for this indication</w:t>
      </w:r>
    </w:p>
    <w:p>
      <w:pPr>
        <w:spacing w:after="200" w:line="276" w:lineRule="auto"/>
      </w:pPr>
      <w:r>
        <w:t>C. In the car glovebox — not the correct drug/class for this indication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Insulin</w:t>
      </w:r>
    </w:p>
    <w:p>
      <w:pPr>
        <w:spacing w:after="200" w:line="276" w:lineRule="auto"/>
      </w:pPr>
      <w:r>
        <w:t>→ Rapid: Lispro / Aspart (10–15 min, before meals)</w:t>
      </w:r>
    </w:p>
    <w:p>
      <w:pPr>
        <w:spacing w:after="200" w:line="276" w:lineRule="auto"/>
      </w:pPr>
      <w:r>
        <w:t>→ Short: Regular (30 min, IV in emergencies)</w:t>
      </w:r>
    </w:p>
    <w:p>
      <w:pPr>
        <w:spacing w:after="200" w:line="276" w:lineRule="auto"/>
      </w:pPr>
      <w:r>
        <w:t>→ Intermediate: NPH (onset 2–4 h, peak 4–12 h)</w:t>
      </w:r>
    </w:p>
    <w:p>
      <w:pPr>
        <w:spacing w:after="200" w:line="276" w:lineRule="auto"/>
      </w:pPr>
      <w:r>
        <w:t>→ Long: Glargine / Detemir (flat, once daily)</w:t>
      </w:r>
    </w:p>
    <w:p>
      <w:pPr>
        <w:spacing w:after="200" w:line="276" w:lineRule="auto"/>
      </w:pPr>
      <w:r>
        <w:t>→ Always rotate sites; keep glucagon available for hypoglycaemia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Insulin injection sites should be rotated to</w:t>
      </w:r>
    </w:p>
    <w:p>
      <w:pPr>
        <w:spacing w:after="200" w:line="276" w:lineRule="auto"/>
      </w:pPr>
      <w:r>
        <w:t>(a) Reduce pain only</w:t>
      </w:r>
    </w:p>
    <w:p>
      <w:pPr>
        <w:spacing w:after="200" w:line="276" w:lineRule="auto"/>
      </w:pPr>
      <w:r>
        <w:t>(b) Prevent lipohypertrophy and erratic absorption</w:t>
      </w:r>
    </w:p>
    <w:p>
      <w:pPr>
        <w:spacing w:after="200" w:line="276" w:lineRule="auto"/>
      </w:pPr>
      <w:r>
        <w:t>(c) Avoid wasting insulin</w:t>
      </w:r>
    </w:p>
    <w:p>
      <w:pPr>
        <w:spacing w:after="200" w:line="276" w:lineRule="auto"/>
      </w:pPr>
      <w:r>
        <w:t>(d) Increase the dose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Prevent lipohypertrophy and erratic absorption</w:t>
      </w:r>
    </w:p>
    <w:p>
      <w:pPr>
        <w:spacing w:after="200" w:line="276" w:lineRule="auto"/>
      </w:pPr>
      <w:r>
        <w:t>🧠 Clinical Rationale: Repeated use of one site causes fatty lumps (lipohypertrophy) that alter insulin absorption.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Reduce pain only — would be appropriate in a different situation, not this one</w:t>
      </w:r>
    </w:p>
    <w:p>
      <w:pPr>
        <w:spacing w:after="200" w:line="276" w:lineRule="auto"/>
      </w:pPr>
      <w:r>
        <w:t>C. Avoid wasting insulin — would be appropriate in a different situation, not this one</w:t>
      </w:r>
    </w:p>
    <w:p>
      <w:pPr>
        <w:spacing w:after="200" w:line="276" w:lineRule="auto"/>
      </w:pPr>
      <w:r>
        <w:t>D. Increase the dose — would be appropriate in a different situation, not this one</w:t>
      </w:r>
    </w:p>
    <w:p>
      <w:pPr>
        <w:spacing w:after="200" w:line="276" w:lineRule="auto"/>
      </w:pPr>
      <w:r>
        <w:t>⚠️ Exam Trap: Rapid-acting analogues (lispro, aspart) have the FASTEST onset; glargine has NO peak; NPH peaks at 4–12 hours (afternoon hypoglycaemia).</w:t>
      </w:r>
    </w:p>
    <w:p>
      <w:pPr>
        <w:spacing w:after="200" w:line="276" w:lineRule="auto"/>
      </w:pPr>
      <w:r>
        <w:t>💎 PNC Pearl: Insulin order of onset — rapid (lispro/aspart 10–15 min) &lt; short (regular 30 min) &lt; intermediate (NPH 2–4 h) &lt; long (glargine flat, no peak).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spacer device is used with a metered dose inhaler to</w:t>
      </w:r>
    </w:p>
    <w:p>
      <w:pPr>
        <w:spacing w:after="200" w:line="276" w:lineRule="auto"/>
      </w:pPr>
      <w:r>
        <w:t>(a) Improve drug delivery to the lungs and reduce throat deposition</w:t>
      </w:r>
    </w:p>
    <w:p>
      <w:pPr>
        <w:spacing w:after="200" w:line="276" w:lineRule="auto"/>
      </w:pPr>
      <w:r>
        <w:t>(b) Increase the dose automatically</w:t>
      </w:r>
    </w:p>
    <w:p>
      <w:pPr>
        <w:spacing w:after="200" w:line="276" w:lineRule="auto"/>
      </w:pPr>
      <w:r>
        <w:t>(c) Replace the bronchodilator</w:t>
      </w:r>
    </w:p>
    <w:p>
      <w:pPr>
        <w:spacing w:after="200" w:line="276" w:lineRule="auto"/>
      </w:pPr>
      <w:r>
        <w:t>(d) Cool the medication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Improve drug delivery to the lungs and reduce throat deposition</w:t>
      </w:r>
    </w:p>
    <w:p>
      <w:pPr>
        <w:spacing w:after="200" w:line="276" w:lineRule="auto"/>
      </w:pPr>
      <w:r>
        <w:t>🧠 Clinical Rationale: Spacers hold the aerosol so more drug reaches the lungs and less is deposited in the mouth.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the dose automatically — would be appropriate in a different situation, not this one</w:t>
      </w:r>
    </w:p>
    <w:p>
      <w:pPr>
        <w:spacing w:after="200" w:line="276" w:lineRule="auto"/>
      </w:pPr>
      <w:r>
        <w:t>C. Replace the bronchodilator — would be appropriate in a different situation, not this one</w:t>
      </w:r>
    </w:p>
    <w:p>
      <w:pPr>
        <w:spacing w:after="200" w:line="276" w:lineRule="auto"/>
      </w:pPr>
      <w:r>
        <w:t>D. Cool the medication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type of hallucination in schizophrenia is</w:t>
      </w:r>
    </w:p>
    <w:p>
      <w:pPr>
        <w:spacing w:after="200" w:line="276" w:lineRule="auto"/>
      </w:pPr>
      <w:r>
        <w:t>(a) Visual</w:t>
      </w:r>
    </w:p>
    <w:p>
      <w:pPr>
        <w:spacing w:after="200" w:line="276" w:lineRule="auto"/>
      </w:pPr>
      <w:r>
        <w:t>(b) Olfactory</w:t>
      </w:r>
    </w:p>
    <w:p>
      <w:pPr>
        <w:spacing w:after="200" w:line="276" w:lineRule="auto"/>
      </w:pPr>
      <w:r>
        <w:t>(c) Tactile</w:t>
      </w:r>
    </w:p>
    <w:p>
      <w:pPr>
        <w:spacing w:after="200" w:line="276" w:lineRule="auto"/>
      </w:pPr>
      <w:r>
        <w:t>(d) Auditory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Auditory</w:t>
      </w:r>
    </w:p>
    <w:p>
      <w:pPr>
        <w:spacing w:after="200" w:line="276" w:lineRule="auto"/>
      </w:pPr>
      <w:r>
        <w:t>🧠 Clinical Rationale: Auditory hallucinations (hearing voices) are the most frequent in schizophrenia.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Visual — a related concept, but it does not match the defining feature asked</w:t>
      </w:r>
    </w:p>
    <w:p>
      <w:pPr>
        <w:spacing w:after="200" w:line="276" w:lineRule="auto"/>
      </w:pPr>
      <w:r>
        <w:t>B. Olfactory — a related concept, but it does not match the defining feature asked</w:t>
      </w:r>
    </w:p>
    <w:p>
      <w:pPr>
        <w:spacing w:after="200" w:line="276" w:lineRule="auto"/>
      </w:pPr>
      <w:r>
        <w:t>C. Tactile — a related concept, but it does not match the defining feature asked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statement by a patient indicates the HIGHEST suicide risk?</w:t>
      </w:r>
    </w:p>
    <w:p>
      <w:pPr>
        <w:spacing w:after="200" w:line="276" w:lineRule="auto"/>
      </w:pPr>
      <w:r>
        <w:t>(a) 'I feel a little sad today'</w:t>
      </w:r>
    </w:p>
    <w:p>
      <w:pPr>
        <w:spacing w:after="200" w:line="276" w:lineRule="auto"/>
      </w:pPr>
      <w:r>
        <w:t>(b) 'I am tired of eating hospital food'</w:t>
      </w:r>
    </w:p>
    <w:p>
      <w:pPr>
        <w:spacing w:after="200" w:line="276" w:lineRule="auto"/>
      </w:pPr>
      <w:r>
        <w:t>(c) 'I have a plan and the means to end my life'</w:t>
      </w:r>
    </w:p>
    <w:p>
      <w:pPr>
        <w:spacing w:after="200" w:line="276" w:lineRule="auto"/>
      </w:pPr>
      <w:r>
        <w:t>(d) 'I want to go home tomorrow'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'I have a plan and the means to end my life'</w:t>
      </w:r>
    </w:p>
    <w:p>
      <w:pPr>
        <w:spacing w:after="200" w:line="276" w:lineRule="auto"/>
      </w:pPr>
      <w:r>
        <w:t>🧠 Clinical Rationale: A specific, feasible plan with access to means signals imminent risk requiring immediate protective action.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Suicide Risk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'I have a plan and the means to end my life'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'I feel a little sad today' — does not address the immediate life-threatening problem (ABC comes first)</w:t>
      </w:r>
    </w:p>
    <w:p>
      <w:pPr>
        <w:spacing w:after="200" w:line="276" w:lineRule="auto"/>
      </w:pPr>
      <w:r>
        <w:t>B. 'I am tired of eating hospital food' — does not address the immediate life-threatening problem (ABC comes first)</w:t>
      </w:r>
    </w:p>
    <w:p>
      <w:pPr>
        <w:spacing w:after="200" w:line="276" w:lineRule="auto"/>
      </w:pPr>
      <w:r>
        <w:t>D. 'I want to go home tomorrow' — does not address the immediate life-threatening problem (ABC comes first)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suitable nursing intervention for a hallucinating patient is to</w:t>
      </w:r>
    </w:p>
    <w:p>
      <w:pPr>
        <w:spacing w:after="200" w:line="276" w:lineRule="auto"/>
      </w:pPr>
      <w:r>
        <w:t>(a) Agree that the voices are real</w:t>
      </w:r>
    </w:p>
    <w:p>
      <w:pPr>
        <w:spacing w:after="200" w:line="276" w:lineRule="auto"/>
      </w:pPr>
      <w:r>
        <w:t>(b) Isolate the patient completely</w:t>
      </w:r>
    </w:p>
    <w:p>
      <w:pPr>
        <w:spacing w:after="200" w:line="276" w:lineRule="auto"/>
      </w:pPr>
      <w:r>
        <w:t>(c) Encourage the patient to follow the voices</w:t>
      </w:r>
    </w:p>
    <w:p>
      <w:pPr>
        <w:spacing w:after="200" w:line="276" w:lineRule="auto"/>
      </w:pPr>
      <w:r>
        <w:t>(d) Engage in reality-oriented activities and avoid arguing about the voices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Engage in reality-oriented activities and avoid arguing about the voices</w:t>
      </w:r>
    </w:p>
    <w:p>
      <w:pPr>
        <w:spacing w:after="200" w:line="276" w:lineRule="auto"/>
      </w:pPr>
      <w:r>
        <w:t>🧠 Clinical Rationale: The nurse redirects to reality without arguing, reduces stimuli and promotes structured activity.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Agree that the voices are real — would be appropriate in a different situation, not this one</w:t>
      </w:r>
    </w:p>
    <w:p>
      <w:pPr>
        <w:spacing w:after="200" w:line="276" w:lineRule="auto"/>
      </w:pPr>
      <w:r>
        <w:t>B. Isolate the patient completely — would be appropriate in a different situation, not this one</w:t>
      </w:r>
    </w:p>
    <w:p>
      <w:pPr>
        <w:spacing w:after="200" w:line="276" w:lineRule="auto"/>
      </w:pPr>
      <w:r>
        <w:t>C. Encourage the patient to follow the voices — would be appropriate in a different situation, not this one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characteristic feature of anorexia nervosa is</w:t>
      </w:r>
    </w:p>
    <w:p>
      <w:pPr>
        <w:spacing w:after="200" w:line="276" w:lineRule="auto"/>
      </w:pPr>
      <w:r>
        <w:t>(a) Compulsive overeating without distress</w:t>
      </w:r>
    </w:p>
    <w:p>
      <w:pPr>
        <w:spacing w:after="200" w:line="276" w:lineRule="auto"/>
      </w:pPr>
      <w:r>
        <w:t>(b) Loss of appetite from infection</w:t>
      </w:r>
    </w:p>
    <w:p>
      <w:pPr>
        <w:spacing w:after="200" w:line="276" w:lineRule="auto"/>
      </w:pPr>
      <w:r>
        <w:t>(c) Overweight due to medications</w:t>
      </w:r>
    </w:p>
    <w:p>
      <w:pPr>
        <w:spacing w:after="200" w:line="276" w:lineRule="auto"/>
      </w:pPr>
      <w:r>
        <w:t>(d) Intense fear of gaining weight with severe dietary restriction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Intense fear of gaining weight with severe dietary restriction</w:t>
      </w:r>
    </w:p>
    <w:p>
      <w:pPr>
        <w:spacing w:after="200" w:line="276" w:lineRule="auto"/>
      </w:pPr>
      <w:r>
        <w:t>🧠 Clinical Rationale: Anorexia nervosa involves relentless restriction, intense fear of weight gain and body-image distortion.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Compulsive overeating without distress — does not match the characteristic feature/management described in the stem</w:t>
      </w:r>
    </w:p>
    <w:p>
      <w:pPr>
        <w:spacing w:after="200" w:line="276" w:lineRule="auto"/>
      </w:pPr>
      <w:r>
        <w:t>B. Loss of appetite from infection — does not match the characteristic feature/management described in the stem</w:t>
      </w:r>
    </w:p>
    <w:p>
      <w:pPr>
        <w:spacing w:after="200" w:line="276" w:lineRule="auto"/>
      </w:pPr>
      <w:r>
        <w:t>C. Overweight due to medications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Refeeding syndrome is the danger in anorexia — start calories slowly and monitor electrolytes, especially phosphate and potassium.</w:t>
      </w:r>
    </w:p>
    <w:p>
      <w:pPr>
        <w:spacing w:after="200" w:line="276" w:lineRule="auto"/>
      </w:pPr>
      <w:r>
        <w:t>💎 PNC Pearl: Anorexia nervosa: monitor for REFEEDING syndrome when starting nutrition — sudden shifts in potassium, phosphate and glucose are dangerous.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Anorexia nervosa</w:t>
      </w:r>
    </w:p>
    <w:p>
      <w:pPr>
        <w:spacing w:after="200" w:line="276" w:lineRule="auto"/>
      </w:pPr>
      <w:r>
        <w:t>→ Clues: severe restriction, low BMI, fear of weight gain, body image distortion</w:t>
      </w:r>
    </w:p>
    <w:p>
      <w:pPr>
        <w:spacing w:after="200" w:line="276" w:lineRule="auto"/>
      </w:pPr>
      <w:r>
        <w:t>→ Medical risks: bradycardia, hypotension, electrolyte imbalance, osteoporosis</w:t>
      </w:r>
    </w:p>
    <w:p>
      <w:pPr>
        <w:spacing w:after="200" w:line="276" w:lineRule="auto"/>
      </w:pPr>
      <w:r>
        <w:t>→ Refeeding syndrome: hypophosphataemia, hypokalaemia, oedema — start feeds slowly</w:t>
      </w:r>
    </w:p>
    <w:p>
      <w:pPr>
        <w:spacing w:after="200" w:line="276" w:lineRule="auto"/>
      </w:pPr>
      <w:r>
        <w:t>→ Monitor: weight, electrolytes, ECG, suicidal ideation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Deficiency of vitamin C causes</w:t>
      </w:r>
    </w:p>
    <w:p>
      <w:pPr>
        <w:spacing w:after="200" w:line="276" w:lineRule="auto"/>
      </w:pPr>
      <w:r>
        <w:t>(a) Rickets</w:t>
      </w:r>
    </w:p>
    <w:p>
      <w:pPr>
        <w:spacing w:after="200" w:line="276" w:lineRule="auto"/>
      </w:pPr>
      <w:r>
        <w:t>(b) Scurvy</w:t>
      </w:r>
    </w:p>
    <w:p>
      <w:pPr>
        <w:spacing w:after="200" w:line="276" w:lineRule="auto"/>
      </w:pPr>
      <w:r>
        <w:t>(c) Goitre</w:t>
      </w:r>
    </w:p>
    <w:p>
      <w:pPr>
        <w:spacing w:after="200" w:line="276" w:lineRule="auto"/>
      </w:pPr>
      <w:r>
        <w:t>(d) Night blindness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Scurvy</w:t>
      </w:r>
    </w:p>
    <w:p>
      <w:pPr>
        <w:spacing w:after="200" w:line="276" w:lineRule="auto"/>
      </w:pPr>
      <w:r>
        <w:t>🧠 Clinical Rationale: Vitamin C deficiency causes scurvy — bleeding gums, poor wound healing and easy bruising.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Deficiency of thiamine (vitamin B1) causes</w:t>
      </w:r>
    </w:p>
    <w:p>
      <w:pPr>
        <w:spacing w:after="200" w:line="276" w:lineRule="auto"/>
      </w:pPr>
      <w:r>
        <w:t>(a) Pellagra</w:t>
      </w:r>
    </w:p>
    <w:p>
      <w:pPr>
        <w:spacing w:after="200" w:line="276" w:lineRule="auto"/>
      </w:pPr>
      <w:r>
        <w:t>(b) Scurvy</w:t>
      </w:r>
    </w:p>
    <w:p>
      <w:pPr>
        <w:spacing w:after="200" w:line="276" w:lineRule="auto"/>
      </w:pPr>
      <w:r>
        <w:t>(c) Beriberi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Beriberi</w:t>
      </w:r>
    </w:p>
    <w:p>
      <w:pPr>
        <w:spacing w:after="200" w:line="276" w:lineRule="auto"/>
      </w:pPr>
      <w:r>
        <w:t>🧠 Clinical Rationale: Thiamine deficiency causes beriberi (cardiac and neurological) and Wernicke-Korsakoff syndrome.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Pellagra — a related concept, but it does not match the defining feature asked</w:t>
      </w:r>
    </w:p>
    <w:p>
      <w:pPr>
        <w:spacing w:after="200" w:line="276" w:lineRule="auto"/>
      </w:pPr>
      <w:r>
        <w:t>B. Scurvy — a related concept, but it does not match the defining feature asked</w:t>
      </w:r>
    </w:p>
    <w:p>
      <w:pPr>
        <w:spacing w:after="200" w:line="276" w:lineRule="auto"/>
      </w:pPr>
      <w:r>
        <w:t>D. Anaemia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Pellagra, caused by niacin deficiency, is characterized by</w:t>
      </w:r>
    </w:p>
    <w:p>
      <w:pPr>
        <w:spacing w:after="200" w:line="276" w:lineRule="auto"/>
      </w:pPr>
      <w:r>
        <w:t>(a) Bleeding gums and anaemia</w:t>
      </w:r>
    </w:p>
    <w:p>
      <w:pPr>
        <w:spacing w:after="200" w:line="276" w:lineRule="auto"/>
      </w:pPr>
      <w:r>
        <w:t>(b) Night blindness and keratomalacia</w:t>
      </w:r>
    </w:p>
    <w:p>
      <w:pPr>
        <w:spacing w:after="200" w:line="276" w:lineRule="auto"/>
      </w:pPr>
      <w:r>
        <w:t>(c) Dermatitis, diarrhoea and dementia</w:t>
      </w:r>
    </w:p>
    <w:p>
      <w:pPr>
        <w:spacing w:after="200" w:line="276" w:lineRule="auto"/>
      </w:pPr>
      <w:r>
        <w:t>(d) Bowed legs and fractures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Dermatitis, diarrhoea and dementia</w:t>
      </w:r>
    </w:p>
    <w:p>
      <w:pPr>
        <w:spacing w:after="200" w:line="276" w:lineRule="auto"/>
      </w:pPr>
      <w:r>
        <w:t>🧠 Clinical Rationale: Pellagra presents the '3 Ds' — dermatitis, diarrhoea and dementia.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Bleeding gums and anaemia — a related concept, but it does not match the defining feature asked</w:t>
      </w:r>
    </w:p>
    <w:p>
      <w:pPr>
        <w:spacing w:after="200" w:line="276" w:lineRule="auto"/>
      </w:pPr>
      <w:r>
        <w:t>B. Night blindness and keratomalacia — a related concept, but it does not match the defining feature asked</w:t>
      </w:r>
    </w:p>
    <w:p>
      <w:pPr>
        <w:spacing w:after="200" w:line="276" w:lineRule="auto"/>
      </w:pPr>
      <w:r>
        <w:t>D. Bowed legs and fractures — a related concept, but it does not match the defining feature asked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Long-term calcium deficiency increases the risk of</w:t>
      </w:r>
    </w:p>
    <w:p>
      <w:pPr>
        <w:spacing w:after="200" w:line="276" w:lineRule="auto"/>
      </w:pPr>
      <w:r>
        <w:t>(a) Goitre</w:t>
      </w:r>
    </w:p>
    <w:p>
      <w:pPr>
        <w:spacing w:after="200" w:line="276" w:lineRule="auto"/>
      </w:pPr>
      <w:r>
        <w:t>(b) Night blindness</w:t>
      </w:r>
    </w:p>
    <w:p>
      <w:pPr>
        <w:spacing w:after="200" w:line="276" w:lineRule="auto"/>
      </w:pPr>
      <w:r>
        <w:t>(c) Scurvy</w:t>
      </w:r>
    </w:p>
    <w:p>
      <w:pPr>
        <w:spacing w:after="200" w:line="276" w:lineRule="auto"/>
      </w:pPr>
      <w:r>
        <w:t>(d) Osteoporosis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Osteoporosis</w:t>
      </w:r>
    </w:p>
    <w:p>
      <w:pPr>
        <w:spacing w:after="200" w:line="276" w:lineRule="auto"/>
      </w:pPr>
      <w:r>
        <w:t>🧠 Clinical Rationale: Inadequate calcium over years leads to reduced bone mass and osteoporosis.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Goitre — a related concept, but it does not match the defining feature asked</w:t>
      </w:r>
    </w:p>
    <w:p>
      <w:pPr>
        <w:spacing w:after="200" w:line="276" w:lineRule="auto"/>
      </w:pPr>
      <w:r>
        <w:t>B. Night blindness — a related concept, but it does not match the defining feature asked</w:t>
      </w:r>
    </w:p>
    <w:p>
      <w:pPr>
        <w:spacing w:after="200" w:line="276" w:lineRule="auto"/>
      </w:pPr>
      <w:r>
        <w:t>C. Scurvy — a related concept, but it does not match the defining feature asked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incubation period of a disease is</w:t>
      </w:r>
    </w:p>
    <w:p>
      <w:pPr>
        <w:spacing w:after="200" w:line="276" w:lineRule="auto"/>
      </w:pPr>
      <w:r>
        <w:t>(a) The interval between entry of the organism and appearance of symptoms</w:t>
      </w:r>
    </w:p>
    <w:p>
      <w:pPr>
        <w:spacing w:after="200" w:line="276" w:lineRule="auto"/>
      </w:pPr>
      <w:r>
        <w:t>(b) The duration of treatment</w:t>
      </w:r>
    </w:p>
    <w:p>
      <w:pPr>
        <w:spacing w:after="200" w:line="276" w:lineRule="auto"/>
      </w:pPr>
      <w:r>
        <w:t>(c) The time from diagnosis to cure</w:t>
      </w:r>
    </w:p>
    <w:p>
      <w:pPr>
        <w:spacing w:after="200" w:line="276" w:lineRule="auto"/>
      </w:pPr>
      <w:r>
        <w:t>(d) The time the germ survives outside the body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interval between entry of the organism and appearance of symptoms</w:t>
      </w:r>
    </w:p>
    <w:p>
      <w:pPr>
        <w:spacing w:after="200" w:line="276" w:lineRule="auto"/>
      </w:pPr>
      <w:r>
        <w:t>🧠 Clinical Rationale: Incubation period: time from infection/exposure to onset of clinical symptoms.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The duration of treatment — a related concept, but it does not match the defining feature asked</w:t>
      </w:r>
    </w:p>
    <w:p>
      <w:pPr>
        <w:spacing w:after="200" w:line="276" w:lineRule="auto"/>
      </w:pPr>
      <w:r>
        <w:t>C. The time from diagnosis to cure — a related concept, but it does not match the defining feature asked</w:t>
      </w:r>
    </w:p>
    <w:p>
      <w:pPr>
        <w:spacing w:after="200" w:line="276" w:lineRule="auto"/>
      </w:pPr>
      <w:r>
        <w:t>D. The time the germ survives outside the body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Cross infection in a hospital refers to infection</w:t>
      </w:r>
    </w:p>
    <w:p>
      <w:pPr>
        <w:spacing w:after="200" w:line="276" w:lineRule="auto"/>
      </w:pPr>
      <w:r>
        <w:t>(a) Transmitted from one patient to another within the hospital</w:t>
      </w:r>
    </w:p>
    <w:p>
      <w:pPr>
        <w:spacing w:after="200" w:line="276" w:lineRule="auto"/>
      </w:pPr>
      <w:r>
        <w:t>(b) Acquired in the community only</w:t>
      </w:r>
    </w:p>
    <w:p>
      <w:pPr>
        <w:spacing w:after="200" w:line="276" w:lineRule="auto"/>
      </w:pPr>
      <w:r>
        <w:t>(c) Present from birth</w:t>
      </w:r>
    </w:p>
    <w:p>
      <w:pPr>
        <w:spacing w:after="200" w:line="276" w:lineRule="auto"/>
      </w:pPr>
      <w:r>
        <w:t>(d) Due to contaminated food at home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Transmitted from one patient to another within the hospital</w:t>
      </w:r>
    </w:p>
    <w:p>
      <w:pPr>
        <w:spacing w:after="200" w:line="276" w:lineRule="auto"/>
      </w:pPr>
      <w:r>
        <w:t>🧠 Clinical Rationale: Cross infection spreads between patients or patients and staff within the healthcare setting.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Acquired in the community only — a related concept, but it does not match the defining feature asked</w:t>
      </w:r>
    </w:p>
    <w:p>
      <w:pPr>
        <w:spacing w:after="200" w:line="276" w:lineRule="auto"/>
      </w:pPr>
      <w:r>
        <w:t>C. Present from birth — a related concept, but it does not match the defining feature asked</w:t>
      </w:r>
    </w:p>
    <w:p>
      <w:pPr>
        <w:spacing w:after="200" w:line="276" w:lineRule="auto"/>
      </w:pPr>
      <w:r>
        <w:t>D. Due to contaminated food at home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Boiling is an effective method of disinfection for instruments when done for at least</w:t>
      </w:r>
    </w:p>
    <w:p>
      <w:pPr>
        <w:spacing w:after="200" w:line="276" w:lineRule="auto"/>
      </w:pPr>
      <w:r>
        <w:t>(a) 1 minute</w:t>
      </w:r>
    </w:p>
    <w:p>
      <w:pPr>
        <w:spacing w:after="200" w:line="276" w:lineRule="auto"/>
      </w:pPr>
      <w:r>
        <w:t>(b) 2 hours</w:t>
      </w:r>
    </w:p>
    <w:p>
      <w:pPr>
        <w:spacing w:after="200" w:line="276" w:lineRule="auto"/>
      </w:pPr>
      <w:r>
        <w:t>(c) 10–20 minutes</w:t>
      </w:r>
    </w:p>
    <w:p>
      <w:pPr>
        <w:spacing w:after="200" w:line="276" w:lineRule="auto"/>
      </w:pPr>
      <w:r>
        <w:t>(d) 30 seconds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10–20 minutes</w:t>
      </w:r>
    </w:p>
    <w:p>
      <w:pPr>
        <w:spacing w:after="200" w:line="276" w:lineRule="auto"/>
      </w:pPr>
      <w:r>
        <w:t>🧠 Clinical Rationale: Boiling at 100°C for 10–20 minutes disinfects instruments but does not kill spores.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contraction phase of the cardiac cycle is called</w:t>
      </w:r>
    </w:p>
    <w:p>
      <w:pPr>
        <w:spacing w:after="200" w:line="276" w:lineRule="auto"/>
      </w:pPr>
      <w:r>
        <w:t>(a) Diastole</w:t>
      </w:r>
    </w:p>
    <w:p>
      <w:pPr>
        <w:spacing w:after="200" w:line="276" w:lineRule="auto"/>
      </w:pPr>
      <w:r>
        <w:t>(b) Systole</w:t>
      </w:r>
    </w:p>
    <w:p>
      <w:pPr>
        <w:spacing w:after="200" w:line="276" w:lineRule="auto"/>
      </w:pPr>
      <w:r>
        <w:t>(c) Refractory period</w:t>
      </w:r>
    </w:p>
    <w:p>
      <w:pPr>
        <w:spacing w:after="200" w:line="276" w:lineRule="auto"/>
      </w:pPr>
      <w:r>
        <w:t>(d) Cardiac output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Systole</w:t>
      </w:r>
    </w:p>
    <w:p>
      <w:pPr>
        <w:spacing w:after="200" w:line="276" w:lineRule="auto"/>
      </w:pPr>
      <w:r>
        <w:t>🧠 Clinical Rationale: Systole is ventricular contraction; diastole is relaxation and filling.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Diastole — a related concept, but it does not match the defining feature asked</w:t>
      </w:r>
    </w:p>
    <w:p>
      <w:pPr>
        <w:spacing w:after="200" w:line="276" w:lineRule="auto"/>
      </w:pPr>
      <w:r>
        <w:t>C. Refractory period — a related concept, but it does not match the defining feature asked</w:t>
      </w:r>
    </w:p>
    <w:p>
      <w:pPr>
        <w:spacing w:after="200" w:line="276" w:lineRule="auto"/>
      </w:pPr>
      <w:r>
        <w:t>D. Cardiac output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haemoglobin level of an adult male is approximately</w:t>
      </w:r>
    </w:p>
    <w:p>
      <w:pPr>
        <w:spacing w:after="200" w:line="276" w:lineRule="auto"/>
      </w:pPr>
      <w:r>
        <w:t>(a) 7–9 g/dL</w:t>
      </w:r>
    </w:p>
    <w:p>
      <w:pPr>
        <w:spacing w:after="200" w:line="276" w:lineRule="auto"/>
      </w:pPr>
      <w:r>
        <w:t>(b) 13.5–17.5 g/dL</w:t>
      </w:r>
    </w:p>
    <w:p>
      <w:pPr>
        <w:spacing w:after="200" w:line="276" w:lineRule="auto"/>
      </w:pPr>
      <w:r>
        <w:t>(c) 20–22 g/dL</w:t>
      </w:r>
    </w:p>
    <w:p>
      <w:pPr>
        <w:spacing w:after="200" w:line="276" w:lineRule="auto"/>
      </w:pPr>
      <w:r>
        <w:t>(d) 10–11 g/dL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13.5–17.5 g/dL</w:t>
      </w:r>
    </w:p>
    <w:p>
      <w:pPr>
        <w:spacing w:after="200" w:line="276" w:lineRule="auto"/>
      </w:pPr>
      <w:r>
        <w:t>🧠 Clinical Rationale: Normal Hb: 13.5–17.5 g/dL in adult males and 12–15.5 g/dL in adult females.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7–9 g/dL — plausible, but not the single most accurate fact asked</w:t>
      </w:r>
    </w:p>
    <w:p>
      <w:pPr>
        <w:spacing w:after="200" w:line="276" w:lineRule="auto"/>
      </w:pPr>
      <w:r>
        <w:t>C. 20–22 g/dL — plausible, but not the single most accurate fact asked</w:t>
      </w:r>
    </w:p>
    <w:p>
      <w:pPr>
        <w:spacing w:after="200" w:line="276" w:lineRule="auto"/>
      </w:pPr>
      <w:r>
        <w:t>D. 10–11 g/dL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correct sequence of a reflex arc is</w:t>
      </w:r>
    </w:p>
    <w:p>
      <w:pPr>
        <w:spacing w:after="200" w:line="276" w:lineRule="auto"/>
      </w:pPr>
      <w:r>
        <w:t>(a) Receptor → sensory neuron → spinal cord → motor neuron → effector</w:t>
      </w:r>
    </w:p>
    <w:p>
      <w:pPr>
        <w:spacing w:after="200" w:line="276" w:lineRule="auto"/>
      </w:pPr>
      <w:r>
        <w:t>(b) Effector → motor neuron → brain → sensory neuron</w:t>
      </w:r>
    </w:p>
    <w:p>
      <w:pPr>
        <w:spacing w:after="200" w:line="276" w:lineRule="auto"/>
      </w:pPr>
      <w:r>
        <w:t>(c) Sensory neuron → receptor → muscle</w:t>
      </w:r>
    </w:p>
    <w:p>
      <w:pPr>
        <w:spacing w:after="200" w:line="276" w:lineRule="auto"/>
      </w:pPr>
      <w:r>
        <w:t>(d) Brain → spinal cord → receptor → effector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Receptor → sensory neuron → spinal cord → motor neuron → effector</w:t>
      </w:r>
    </w:p>
    <w:p>
      <w:pPr>
        <w:spacing w:after="200" w:line="276" w:lineRule="auto"/>
      </w:pPr>
      <w:r>
        <w:t>🧠 Clinical Rationale: Reflexes travel: receptor, sensory (afferent) neuron, integrating centre (cord), motor (efferent) neuron, effector.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Effector → motor neuron → brain → sensory neuron — a related concept, but it does not match the defining feature asked</w:t>
      </w:r>
    </w:p>
    <w:p>
      <w:pPr>
        <w:spacing w:after="200" w:line="276" w:lineRule="auto"/>
      </w:pPr>
      <w:r>
        <w:t>C. Sensory neuron → receptor → muscle — a related concept, but it does not match the defining feature asked</w:t>
      </w:r>
    </w:p>
    <w:p>
      <w:pPr>
        <w:spacing w:after="200" w:line="276" w:lineRule="auto"/>
      </w:pPr>
      <w:r>
        <w:t>D. Brain → spinal cord → receptor → effector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nursing audit is a process of</w:t>
      </w:r>
    </w:p>
    <w:p>
      <w:pPr>
        <w:spacing w:after="200" w:line="276" w:lineRule="auto"/>
      </w:pPr>
      <w:r>
        <w:t>(a) Counting nurses in the ward</w:t>
      </w:r>
    </w:p>
    <w:p>
      <w:pPr>
        <w:spacing w:after="200" w:line="276" w:lineRule="auto"/>
      </w:pPr>
      <w:r>
        <w:t>(b) Fixing staff salaries</w:t>
      </w:r>
    </w:p>
    <w:p>
      <w:pPr>
        <w:spacing w:after="200" w:line="276" w:lineRule="auto"/>
      </w:pPr>
      <w:r>
        <w:t>(c) Evaluating the quality of nursing care against set standards</w:t>
      </w:r>
    </w:p>
    <w:p>
      <w:pPr>
        <w:spacing w:after="200" w:line="276" w:lineRule="auto"/>
      </w:pPr>
      <w:r>
        <w:t>(d) Selecting new equipment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Evaluating the quality of nursing care against set standards</w:t>
      </w:r>
    </w:p>
    <w:p>
      <w:pPr>
        <w:spacing w:after="200" w:line="276" w:lineRule="auto"/>
      </w:pPr>
      <w:r>
        <w:t>🧠 Clinical Rationale: Nursing audit reviews records and care against standards to improve quality.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Counting nurses in the ward — a related concept, but it does not match the defining feature asked</w:t>
      </w:r>
    </w:p>
    <w:p>
      <w:pPr>
        <w:spacing w:after="200" w:line="276" w:lineRule="auto"/>
      </w:pPr>
      <w:r>
        <w:t>B. Fixing staff salaries — a related concept, but it does not match the defining feature asked</w:t>
      </w:r>
    </w:p>
    <w:p>
      <w:pPr>
        <w:spacing w:after="200" w:line="276" w:lineRule="auto"/>
      </w:pPr>
      <w:r>
        <w:t>D. Selecting new equipment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Bedside clinic as a teaching method helps students to</w:t>
      </w:r>
    </w:p>
    <w:p>
      <w:pPr>
        <w:spacing w:after="200" w:line="276" w:lineRule="auto"/>
      </w:pPr>
      <w:r>
        <w:t>(a) Only copy notes</w:t>
      </w:r>
    </w:p>
    <w:p>
      <w:pPr>
        <w:spacing w:after="200" w:line="276" w:lineRule="auto"/>
      </w:pPr>
      <w:r>
        <w:t>(b) Learn by observing and discussing real patient care</w:t>
      </w:r>
    </w:p>
    <w:p>
      <w:pPr>
        <w:spacing w:after="200" w:line="276" w:lineRule="auto"/>
      </w:pPr>
      <w:r>
        <w:t>(c) Skip patient contact</w:t>
      </w:r>
    </w:p>
    <w:p>
      <w:pPr>
        <w:spacing w:after="200" w:line="276" w:lineRule="auto"/>
      </w:pPr>
      <w:r>
        <w:t>(d) Memorize drug names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Learn by observing and discussing real patient care</w:t>
      </w:r>
    </w:p>
    <w:p>
      <w:pPr>
        <w:spacing w:after="200" w:line="276" w:lineRule="auto"/>
      </w:pPr>
      <w:r>
        <w:t>🧠 Clinical Rationale: Bedside teaching integrates theory with real clinical situations and develops clinical reasoning.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copy notes — a related concept, but it does not match the defining feature asked</w:t>
      </w:r>
    </w:p>
    <w:p>
      <w:pPr>
        <w:spacing w:after="200" w:line="276" w:lineRule="auto"/>
      </w:pPr>
      <w:r>
        <w:t>C. Skip patient contact — a related concept, but it does not match the defining feature asked</w:t>
      </w:r>
    </w:p>
    <w:p>
      <w:pPr>
        <w:spacing w:after="200" w:line="276" w:lineRule="auto"/>
      </w:pPr>
      <w:r>
        <w:t>D. Memorize drug names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