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Hyperosmolar hyperglycaemic state (HHS) differs from DKA by the</w:t>
      </w:r>
    </w:p>
    <w:p>
      <w:pPr>
        <w:spacing w:after="200" w:line="276" w:lineRule="auto"/>
      </w:pPr>
      <w:r>
        <w:t>(a) Presence of fruity breath</w:t>
      </w:r>
    </w:p>
    <w:p>
      <w:pPr>
        <w:spacing w:after="200" w:line="276" w:lineRule="auto"/>
      </w:pPr>
      <w:r>
        <w:t>(b) Low blood glucose</w:t>
      </w:r>
    </w:p>
    <w:p>
      <w:pPr>
        <w:spacing w:after="200" w:line="276" w:lineRule="auto"/>
      </w:pPr>
      <w:r>
        <w:t>(c) Absence of significant ketosis with very high glucose</w:t>
      </w:r>
    </w:p>
    <w:p>
      <w:pPr>
        <w:spacing w:after="200" w:line="276" w:lineRule="auto"/>
      </w:pPr>
      <w:r>
        <w:t>(d) Metabolic alkalosis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Absence of significant ketosis with very high glucose</w:t>
      </w:r>
    </w:p>
    <w:p>
      <w:pPr>
        <w:spacing w:after="200" w:line="276" w:lineRule="auto"/>
      </w:pPr>
      <w:r>
        <w:t>🧠 Clinical Rationale: HHS shows marked hyperglycaemia and dehydration with minimal or no ketosis, often in type 2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Presence of fruity breath — a related concept, but it does not match the defining feature asked</w:t>
      </w:r>
    </w:p>
    <w:p>
      <w:pPr>
        <w:spacing w:after="200" w:line="276" w:lineRule="auto"/>
      </w:pPr>
      <w:r>
        <w:t>B. Low blood glucose — a related concept, but it does not match the defining feature asked</w:t>
      </w:r>
    </w:p>
    <w:p>
      <w:pPr>
        <w:spacing w:after="200" w:line="276" w:lineRule="auto"/>
      </w:pPr>
      <w:r>
        <w:t>D. Metabolic alkalosis — a related concept, but it does not match the defining feature asked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preventive measure for sickle cell crisis is</w:t>
      </w:r>
    </w:p>
    <w:p>
      <w:pPr>
        <w:spacing w:after="200" w:line="276" w:lineRule="auto"/>
      </w:pPr>
      <w:r>
        <w:t>(a) Cold exposure</w:t>
      </w:r>
    </w:p>
    <w:p>
      <w:pPr>
        <w:spacing w:after="200" w:line="276" w:lineRule="auto"/>
      </w:pPr>
      <w:r>
        <w:t>(b) Strenuous exercise</w:t>
      </w:r>
    </w:p>
    <w:p>
      <w:pPr>
        <w:spacing w:after="200" w:line="276" w:lineRule="auto"/>
      </w:pPr>
      <w:r>
        <w:t>(c) Smoking</w:t>
      </w:r>
    </w:p>
    <w:p>
      <w:pPr>
        <w:spacing w:after="200" w:line="276" w:lineRule="auto"/>
      </w:pPr>
      <w:r>
        <w:t>(d) Adequate hydration and avoiding hypoxia/dehydration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Adequate hydration and avoiding hypoxia/dehydration</w:t>
      </w:r>
    </w:p>
    <w:p>
      <w:pPr>
        <w:spacing w:after="200" w:line="276" w:lineRule="auto"/>
      </w:pPr>
      <w:r>
        <w:t>🧠 Clinical Rationale: Dehydration, hypoxia, cold and infection precipitate sickling; fluids and warmth prevent crises.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exposure — would be appropriate in a different situation, not this one</w:t>
      </w:r>
    </w:p>
    <w:p>
      <w:pPr>
        <w:spacing w:after="200" w:line="276" w:lineRule="auto"/>
      </w:pPr>
      <w:r>
        <w:t>B. Strenuous exercise — would be appropriate in a different situation, not this one</w:t>
      </w:r>
    </w:p>
    <w:p>
      <w:pPr>
        <w:spacing w:after="200" w:line="276" w:lineRule="auto"/>
      </w:pPr>
      <w:r>
        <w:t>C. Smoking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Trendelenburg position (head lowered, feet raised) is used for</w:t>
      </w:r>
    </w:p>
    <w:p>
      <w:pPr>
        <w:spacing w:after="200" w:line="276" w:lineRule="auto"/>
      </w:pPr>
      <w:r>
        <w:t>(a) Breathing difficulty</w:t>
      </w:r>
    </w:p>
    <w:p>
      <w:pPr>
        <w:spacing w:after="200" w:line="276" w:lineRule="auto"/>
      </w:pPr>
      <w:r>
        <w:t>(b) Shock to improve venous return and for pelvic surgery</w:t>
      </w:r>
    </w:p>
    <w:p>
      <w:pPr>
        <w:spacing w:after="200" w:line="276" w:lineRule="auto"/>
      </w:pPr>
      <w:r>
        <w:t>(c) Post-cataract surgery only</w:t>
      </w:r>
    </w:p>
    <w:p>
      <w:pPr>
        <w:spacing w:after="200" w:line="276" w:lineRule="auto"/>
      </w:pPr>
      <w:r>
        <w:t>(d) Head injury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Shock to improve venous return and for pelvic surgery</w:t>
      </w:r>
    </w:p>
    <w:p>
      <w:pPr>
        <w:spacing w:after="200" w:line="276" w:lineRule="auto"/>
      </w:pPr>
      <w:r>
        <w:t>🧠 Clinical Rationale: Head-down tilt increases venous return in hypotension and provides pelvic exposure in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Breathing difficulty — would be appropriate in a different situation, not this one</w:t>
      </w:r>
    </w:p>
    <w:p>
      <w:pPr>
        <w:spacing w:after="200" w:line="276" w:lineRule="auto"/>
      </w:pPr>
      <w:r>
        <w:t>C. Post-cataract surgery only — would be appropriate in a different situation, not this one</w:t>
      </w:r>
    </w:p>
    <w:p>
      <w:pPr>
        <w:spacing w:after="200" w:line="276" w:lineRule="auto"/>
      </w:pPr>
      <w:r>
        <w:t>D. Head injury — would be appropriate in a different situation, not this one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transfer (gait) belt is used to</w:t>
      </w:r>
    </w:p>
    <w:p>
      <w:pPr>
        <w:spacing w:after="200" w:line="276" w:lineRule="auto"/>
      </w:pPr>
      <w:r>
        <w:t>(a) Restrain the patient</w:t>
      </w:r>
    </w:p>
    <w:p>
      <w:pPr>
        <w:spacing w:after="200" w:line="276" w:lineRule="auto"/>
      </w:pPr>
      <w:r>
        <w:t>(b) Support a patient safely during transfers and ambulation</w:t>
      </w:r>
    </w:p>
    <w:p>
      <w:pPr>
        <w:spacing w:after="200" w:line="276" w:lineRule="auto"/>
      </w:pPr>
      <w:r>
        <w:t>(c) Lift heavy objects</w:t>
      </w:r>
    </w:p>
    <w:p>
      <w:pPr>
        <w:spacing w:after="200" w:line="276" w:lineRule="auto"/>
      </w:pPr>
      <w:r>
        <w:t>(d) Measure waist size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Support a patient safely during transfers and ambulation</w:t>
      </w:r>
    </w:p>
    <w:p>
      <w:pPr>
        <w:spacing w:after="200" w:line="276" w:lineRule="auto"/>
      </w:pPr>
      <w:r>
        <w:t>🧠 Clinical Rationale: Gait belts give the nurse a firm grip to support patients and prevent falls during transfers.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the patient — would be appropriate in a different situation, not this one</w:t>
      </w:r>
    </w:p>
    <w:p>
      <w:pPr>
        <w:spacing w:after="200" w:line="276" w:lineRule="auto"/>
      </w:pPr>
      <w:r>
        <w:t>C. Lift heavy objects — would be appropriate in a different situation, not this one</w:t>
      </w:r>
    </w:p>
    <w:p>
      <w:pPr>
        <w:spacing w:after="200" w:line="276" w:lineRule="auto"/>
      </w:pPr>
      <w:r>
        <w:t>D. Measure waist size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using a single cane should hold it</w:t>
      </w:r>
    </w:p>
    <w:p>
      <w:pPr>
        <w:spacing w:after="200" w:line="276" w:lineRule="auto"/>
      </w:pPr>
      <w:r>
        <w:t>(a) On the side of the weak leg</w:t>
      </w:r>
    </w:p>
    <w:p>
      <w:pPr>
        <w:spacing w:after="200" w:line="276" w:lineRule="auto"/>
      </w:pPr>
      <w:r>
        <w:t>(b) In both hands</w:t>
      </w:r>
    </w:p>
    <w:p>
      <w:pPr>
        <w:spacing w:after="200" w:line="276" w:lineRule="auto"/>
      </w:pPr>
      <w:r>
        <w:t>(c) On the side opposite the weak leg</w:t>
      </w:r>
    </w:p>
    <w:p>
      <w:pPr>
        <w:spacing w:after="200" w:line="276" w:lineRule="auto"/>
      </w:pPr>
      <w:r>
        <w:t>(d) Behind the back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 the side opposite the weak leg</w:t>
      </w:r>
    </w:p>
    <w:p>
      <w:pPr>
        <w:spacing w:after="200" w:line="276" w:lineRule="auto"/>
      </w:pPr>
      <w:r>
        <w:t>🧠 Clinical Rationale: The cane is held on the strong side and moves with the weak leg, widening the base of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the side of the weak leg — would be appropriate in a different situation, not this one</w:t>
      </w:r>
    </w:p>
    <w:p>
      <w:pPr>
        <w:spacing w:after="200" w:line="276" w:lineRule="auto"/>
      </w:pPr>
      <w:r>
        <w:t>B. In both hands — would be appropriate in a different situation, not this one</w:t>
      </w:r>
    </w:p>
    <w:p>
      <w:pPr>
        <w:spacing w:after="200" w:line="276" w:lineRule="auto"/>
      </w:pPr>
      <w:r>
        <w:t>D. Behind the back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Passive range-of-motion exercises are performed by</w:t>
      </w:r>
    </w:p>
    <w:p>
      <w:pPr>
        <w:spacing w:after="200" w:line="276" w:lineRule="auto"/>
      </w:pPr>
      <w:r>
        <w:t>(a) The patient moving their own joints</w:t>
      </w:r>
    </w:p>
    <w:p>
      <w:pPr>
        <w:spacing w:after="200" w:line="276" w:lineRule="auto"/>
      </w:pPr>
      <w:r>
        <w:t>(b) The nurse moving the patient's joints</w:t>
      </w:r>
    </w:p>
    <w:p>
      <w:pPr>
        <w:spacing w:after="200" w:line="276" w:lineRule="auto"/>
      </w:pPr>
      <w:r>
        <w:t>(c) A machine only</w:t>
      </w:r>
    </w:p>
    <w:p>
      <w:pPr>
        <w:spacing w:after="200" w:line="276" w:lineRule="auto"/>
      </w:pPr>
      <w:r>
        <w:t>(d) The patient's family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nurse moving the patient's joints</w:t>
      </w:r>
    </w:p>
    <w:p>
      <w:pPr>
        <w:spacing w:after="200" w:line="276" w:lineRule="auto"/>
      </w:pPr>
      <w:r>
        <w:t>🧠 Clinical Rationale: Passive ROM is done for patients unable to move themselves, maintaining joint mobility.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moving their own joints — a related concept, but it does not match the defining feature asked</w:t>
      </w:r>
    </w:p>
    <w:p>
      <w:pPr>
        <w:spacing w:after="200" w:line="276" w:lineRule="auto"/>
      </w:pPr>
      <w:r>
        <w:t>C. A machine only — a related concept, but it does not match the defining feature asked</w:t>
      </w:r>
    </w:p>
    <w:p>
      <w:pPr>
        <w:spacing w:after="200" w:line="276" w:lineRule="auto"/>
      </w:pPr>
      <w:r>
        <w:t>D. The patient's family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Cold application is most appropriate for</w:t>
      </w:r>
    </w:p>
    <w:p>
      <w:pPr>
        <w:spacing w:after="200" w:line="276" w:lineRule="auto"/>
      </w:pPr>
      <w:r>
        <w:t>(a) Chronic joint stiffness</w:t>
      </w:r>
    </w:p>
    <w:p>
      <w:pPr>
        <w:spacing w:after="200" w:line="276" w:lineRule="auto"/>
      </w:pPr>
      <w:r>
        <w:t>(b) Warming a chilled patient</w:t>
      </w:r>
    </w:p>
    <w:p>
      <w:pPr>
        <w:spacing w:after="200" w:line="276" w:lineRule="auto"/>
      </w:pPr>
      <w:r>
        <w:t>(c) Reducing swelling after an acute sprain</w:t>
      </w:r>
    </w:p>
    <w:p>
      <w:pPr>
        <w:spacing w:after="200" w:line="276" w:lineRule="auto"/>
      </w:pPr>
      <w:r>
        <w:t>(d) Relieving menstrual cramping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Reducing swelling after an acute sprain</w:t>
      </w:r>
    </w:p>
    <w:p>
      <w:pPr>
        <w:spacing w:after="200" w:line="276" w:lineRule="auto"/>
      </w:pPr>
      <w:r>
        <w:t>🧠 Clinical Rationale: Cold causes vasoconstriction, limiting oedema in the first 24–48 hours after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joint stiffness — would be appropriate in a different situation, not this one</w:t>
      </w:r>
    </w:p>
    <w:p>
      <w:pPr>
        <w:spacing w:after="200" w:line="276" w:lineRule="auto"/>
      </w:pPr>
      <w:r>
        <w:t>B. Warming a chilled patient — would be appropriate in a different situation, not this one</w:t>
      </w:r>
    </w:p>
    <w:p>
      <w:pPr>
        <w:spacing w:after="200" w:line="276" w:lineRule="auto"/>
      </w:pPr>
      <w:r>
        <w:t>D. Relieving menstrual cramping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Alcohol sponge baths to reduce fever are</w:t>
      </w:r>
    </w:p>
    <w:p>
      <w:pPr>
        <w:spacing w:after="200" w:line="276" w:lineRule="auto"/>
      </w:pPr>
      <w:r>
        <w:t>(a) Not recommended because of alcohol absorption and skin irritation</w:t>
      </w:r>
    </w:p>
    <w:p>
      <w:pPr>
        <w:spacing w:after="200" w:line="276" w:lineRule="auto"/>
      </w:pPr>
      <w:r>
        <w:t>(b) The best method always</w:t>
      </w:r>
    </w:p>
    <w:p>
      <w:pPr>
        <w:spacing w:after="200" w:line="276" w:lineRule="auto"/>
      </w:pPr>
      <w:r>
        <w:t>(c) Used only in newborns</w:t>
      </w:r>
    </w:p>
    <w:p>
      <w:pPr>
        <w:spacing w:after="200" w:line="276" w:lineRule="auto"/>
      </w:pPr>
      <w:r>
        <w:t>(d) Safer than tepid sponging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Not recommended because of alcohol absorption and skin irritation</w:t>
      </w:r>
    </w:p>
    <w:p>
      <w:pPr>
        <w:spacing w:after="200" w:line="276" w:lineRule="auto"/>
      </w:pPr>
      <w:r>
        <w:t>🧠 Clinical Rationale: Alcohol baths risk toxicity and irritation; tepid water sponging is preferred.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best method always — would be appropriate in a different situation, not this one</w:t>
      </w:r>
    </w:p>
    <w:p>
      <w:pPr>
        <w:spacing w:after="200" w:line="276" w:lineRule="auto"/>
      </w:pPr>
      <w:r>
        <w:t>C. Used only in newborns — would be appropriate in a different situation, not this one</w:t>
      </w:r>
    </w:p>
    <w:p>
      <w:pPr>
        <w:spacing w:after="200" w:line="276" w:lineRule="auto"/>
      </w:pPr>
      <w:r>
        <w:t>D. Safer than tepid sponging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any oral medication, the nurse must</w:t>
      </w:r>
    </w:p>
    <w:p>
      <w:pPr>
        <w:spacing w:after="200" w:line="276" w:lineRule="auto"/>
      </w:pPr>
      <w:r>
        <w:t>(a) Identify the patient using two identifiers and check the MAR</w:t>
      </w:r>
    </w:p>
    <w:p>
      <w:pPr>
        <w:spacing w:after="200" w:line="276" w:lineRule="auto"/>
      </w:pPr>
      <w:r>
        <w:t>(b) Ask the patient's name only</w:t>
      </w:r>
    </w:p>
    <w:p>
      <w:pPr>
        <w:spacing w:after="200" w:line="276" w:lineRule="auto"/>
      </w:pPr>
      <w:r>
        <w:t>(c) Give the drug without checking</w:t>
      </w:r>
    </w:p>
    <w:p>
      <w:pPr>
        <w:spacing w:after="200" w:line="276" w:lineRule="auto"/>
      </w:pPr>
      <w:r>
        <w:t>(d) Crush all tablets routinely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Identify the patient using two identifiers and check the MAR</w:t>
      </w:r>
    </w:p>
    <w:p>
      <w:pPr>
        <w:spacing w:after="200" w:line="276" w:lineRule="auto"/>
      </w:pPr>
      <w:r>
        <w:t>🧠 Clinical Rationale: Two-patient identifiers (name + UHID/DOB) plus MAR verification prevent medication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Oral Medication Rules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Identify the patient using two identifiers and check the MAR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Ask the patient's name only — does not address the immediate life-threatening problem (ABC comes first)</w:t>
      </w:r>
    </w:p>
    <w:p>
      <w:pPr>
        <w:spacing w:after="200" w:line="276" w:lineRule="auto"/>
      </w:pPr>
      <w:r>
        <w:t>C. Give the drug without checking — does not address the immediate life-threatening problem (ABC comes first)</w:t>
      </w:r>
    </w:p>
    <w:p>
      <w:pPr>
        <w:spacing w:after="200" w:line="276" w:lineRule="auto"/>
      </w:pPr>
      <w:r>
        <w:t>D. Crush all tablets routinely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medication dose is omitted, the nurse should</w:t>
      </w:r>
    </w:p>
    <w:p>
      <w:pPr>
        <w:spacing w:after="200" w:line="276" w:lineRule="auto"/>
      </w:pPr>
      <w:r>
        <w:t>(a) Ignore the omission</w:t>
      </w:r>
    </w:p>
    <w:p>
      <w:pPr>
        <w:spacing w:after="200" w:line="276" w:lineRule="auto"/>
      </w:pPr>
      <w:r>
        <w:t>(b) Double the next dose</w:t>
      </w:r>
    </w:p>
    <w:p>
      <w:pPr>
        <w:spacing w:after="200" w:line="276" w:lineRule="auto"/>
      </w:pPr>
      <w:r>
        <w:t>(c) Give it later without recording</w:t>
      </w:r>
    </w:p>
    <w:p>
      <w:pPr>
        <w:spacing w:after="200" w:line="276" w:lineRule="auto"/>
      </w:pPr>
      <w:r>
        <w:t>(d) Document the omission and the reason immediately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Document the omission and the reason immediately</w:t>
      </w:r>
    </w:p>
    <w:p>
      <w:pPr>
        <w:spacing w:after="200" w:line="276" w:lineRule="auto"/>
      </w:pPr>
      <w:r>
        <w:t>🧠 Clinical Rationale: Omissions are documented promptly with reasons to maintain an accurate medication record.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Ignore the omission — a related concept, but it does not match the defining feature asked</w:t>
      </w:r>
    </w:p>
    <w:p>
      <w:pPr>
        <w:spacing w:after="200" w:line="276" w:lineRule="auto"/>
      </w:pPr>
      <w:r>
        <w:t>B. Double the next dose — a related concept, but it does not match the defining feature asked</w:t>
      </w:r>
    </w:p>
    <w:p>
      <w:pPr>
        <w:spacing w:after="200" w:line="276" w:lineRule="auto"/>
      </w:pPr>
      <w:r>
        <w:t>C. Give it later without recording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way to prevent wrong-patient medication errors is</w:t>
      </w:r>
    </w:p>
    <w:p>
      <w:pPr>
        <w:spacing w:after="200" w:line="276" w:lineRule="auto"/>
      </w:pPr>
      <w:r>
        <w:t>(a) Memorizing patient names</w:t>
      </w:r>
    </w:p>
    <w:p>
      <w:pPr>
        <w:spacing w:after="200" w:line="276" w:lineRule="auto"/>
      </w:pPr>
      <w:r>
        <w:t>(b) Relying on the patient's bed number</w:t>
      </w:r>
    </w:p>
    <w:p>
      <w:pPr>
        <w:spacing w:after="200" w:line="276" w:lineRule="auto"/>
      </w:pPr>
      <w:r>
        <w:t>(c) Checking the patient's identification band before administration</w:t>
      </w:r>
    </w:p>
    <w:p>
      <w:pPr>
        <w:spacing w:after="200" w:line="276" w:lineRule="auto"/>
      </w:pPr>
      <w:r>
        <w:t>(d) Reading only the drug label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Checking the patient's identification band before administration</w:t>
      </w:r>
    </w:p>
    <w:p>
      <w:pPr>
        <w:spacing w:after="200" w:line="276" w:lineRule="auto"/>
      </w:pPr>
      <w:r>
        <w:t>🧠 Clinical Rationale: Verifying identity from the wristband against the MAR is the key safety step.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Error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Checking the patient's identification band before administration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Memorizing patient names — does not address the immediate life-threatening problem (ABC comes first)</w:t>
      </w:r>
    </w:p>
    <w:p>
      <w:pPr>
        <w:spacing w:after="200" w:line="276" w:lineRule="auto"/>
      </w:pPr>
      <w:r>
        <w:t>B. Relying on the patient's bed number — does not address the immediate life-threatening problem (ABC comes first)</w:t>
      </w:r>
    </w:p>
    <w:p>
      <w:pPr>
        <w:spacing w:after="200" w:line="276" w:lineRule="auto"/>
      </w:pPr>
      <w:r>
        <w:t>D. Reading only the drug label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Z-track technique is used for IM injections to</w:t>
      </w:r>
    </w:p>
    <w:p>
      <w:pPr>
        <w:spacing w:after="200" w:line="276" w:lineRule="auto"/>
      </w:pPr>
      <w:r>
        <w:t>(a) Reduce pain completely</w:t>
      </w:r>
    </w:p>
    <w:p>
      <w:pPr>
        <w:spacing w:after="200" w:line="276" w:lineRule="auto"/>
      </w:pPr>
      <w:r>
        <w:t>(b) Increase dose accuracy only</w:t>
      </w:r>
    </w:p>
    <w:p>
      <w:pPr>
        <w:spacing w:after="200" w:line="276" w:lineRule="auto"/>
      </w:pPr>
      <w:r>
        <w:t>(c) Speed up absorption</w:t>
      </w:r>
    </w:p>
    <w:p>
      <w:pPr>
        <w:spacing w:after="200" w:line="276" w:lineRule="auto"/>
      </w:pPr>
      <w:r>
        <w:t>(d) Prevent drug leakage into subcutaneous tissue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drug leakage into subcutaneous tissue</w:t>
      </w:r>
    </w:p>
    <w:p>
      <w:pPr>
        <w:spacing w:after="200" w:line="276" w:lineRule="auto"/>
      </w:pPr>
      <w:r>
        <w:t>🧠 Clinical Rationale: Z-track pulls the skin sideways, sealing the track so irritant drugs (e.g., iron) do not leak.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pain completely — would be appropriate in a different situation, not this one</w:t>
      </w:r>
    </w:p>
    <w:p>
      <w:pPr>
        <w:spacing w:after="200" w:line="276" w:lineRule="auto"/>
      </w:pPr>
      <w:r>
        <w:t>B. Increase dose accuracy only — would be appropriate in a different situation, not this one</w:t>
      </w:r>
    </w:p>
    <w:p>
      <w:pPr>
        <w:spacing w:after="200" w:line="276" w:lineRule="auto"/>
      </w:pPr>
      <w:r>
        <w:t>C. Speed up absorption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intradermal injection is given at an angle of</w:t>
      </w:r>
    </w:p>
    <w:p>
      <w:pPr>
        <w:spacing w:after="200" w:line="276" w:lineRule="auto"/>
      </w:pPr>
      <w:r>
        <w:t>(a) 5–15°</w:t>
      </w:r>
    </w:p>
    <w:p>
      <w:pPr>
        <w:spacing w:after="200" w:line="276" w:lineRule="auto"/>
      </w:pPr>
      <w:r>
        <w:t>(b) 45°</w:t>
      </w:r>
    </w:p>
    <w:p>
      <w:pPr>
        <w:spacing w:after="200" w:line="276" w:lineRule="auto"/>
      </w:pPr>
      <w:r>
        <w:t>(c) 90°</w:t>
      </w:r>
    </w:p>
    <w:p>
      <w:pPr>
        <w:spacing w:after="200" w:line="276" w:lineRule="auto"/>
      </w:pPr>
      <w:r>
        <w:t>(d) 60°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5–15°</w:t>
      </w:r>
    </w:p>
    <w:p>
      <w:pPr>
        <w:spacing w:after="200" w:line="276" w:lineRule="auto"/>
      </w:pPr>
      <w:r>
        <w:t>🧠 Clinical Rationale: Intradermal injections (e.g., Mantoux test) enter the dermis at 5–15°, forming a bleb.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45° — would be appropriate in a different situation, not this one</w:t>
      </w:r>
    </w:p>
    <w:p>
      <w:pPr>
        <w:spacing w:after="200" w:line="276" w:lineRule="auto"/>
      </w:pPr>
      <w:r>
        <w:t>C. 90° — would be appropriate in a different situation, not this one</w:t>
      </w:r>
    </w:p>
    <w:p>
      <w:pPr>
        <w:spacing w:after="200" w:line="276" w:lineRule="auto"/>
      </w:pPr>
      <w:r>
        <w:t>D. 60°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subcutaneous injection site for insulin is the</w:t>
      </w:r>
    </w:p>
    <w:p>
      <w:pPr>
        <w:spacing w:after="200" w:line="276" w:lineRule="auto"/>
      </w:pPr>
      <w:r>
        <w:t>(a) Gluteus maximus</w:t>
      </w:r>
    </w:p>
    <w:p>
      <w:pPr>
        <w:spacing w:after="200" w:line="276" w:lineRule="auto"/>
      </w:pPr>
      <w:r>
        <w:t>(b) Abdomen (avoiding the navel)</w:t>
      </w:r>
    </w:p>
    <w:p>
      <w:pPr>
        <w:spacing w:after="200" w:line="276" w:lineRule="auto"/>
      </w:pPr>
      <w:r>
        <w:t>(c) Vastus lateralis</w:t>
      </w:r>
    </w:p>
    <w:p>
      <w:pPr>
        <w:spacing w:after="200" w:line="276" w:lineRule="auto"/>
      </w:pPr>
      <w:r>
        <w:t>(d) Deltoid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Abdomen (avoiding the navel)</w:t>
      </w:r>
    </w:p>
    <w:p>
      <w:pPr>
        <w:spacing w:after="200" w:line="276" w:lineRule="auto"/>
      </w:pPr>
      <w:r>
        <w:t>🧠 Clinical Rationale: The abdomen gives the most consistent subcutaneous absorption for insulin.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Gluteus maximus — would be appropriate in a different situation, not this one</w:t>
      </w:r>
    </w:p>
    <w:p>
      <w:pPr>
        <w:spacing w:after="200" w:line="276" w:lineRule="auto"/>
      </w:pPr>
      <w:r>
        <w:t>C. Vastus lateralis — would be appropriate in a different situation, not this one</w:t>
      </w:r>
    </w:p>
    <w:p>
      <w:pPr>
        <w:spacing w:after="200" w:line="276" w:lineRule="auto"/>
      </w:pPr>
      <w:r>
        <w:t>D. Deltoid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IV cannulation, the nurse usually starts with</w:t>
      </w:r>
    </w:p>
    <w:p>
      <w:pPr>
        <w:spacing w:after="200" w:line="276" w:lineRule="auto"/>
      </w:pPr>
      <w:r>
        <w:t>(a) The antecubital fossa</w:t>
      </w:r>
    </w:p>
    <w:p>
      <w:pPr>
        <w:spacing w:after="200" w:line="276" w:lineRule="auto"/>
      </w:pPr>
      <w:r>
        <w:t>(b) Distal veins of the non-dominant hand/arm</w:t>
      </w:r>
    </w:p>
    <w:p>
      <w:pPr>
        <w:spacing w:after="200" w:line="276" w:lineRule="auto"/>
      </w:pPr>
      <w:r>
        <w:t>(c) Leg veins in adults</w:t>
      </w:r>
    </w:p>
    <w:p>
      <w:pPr>
        <w:spacing w:after="200" w:line="276" w:lineRule="auto"/>
      </w:pPr>
      <w:r>
        <w:t>(d) The neck veins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Distal veins of the non-dominant hand/arm</w:t>
      </w:r>
    </w:p>
    <w:p>
      <w:pPr>
        <w:spacing w:after="200" w:line="276" w:lineRule="auto"/>
      </w:pPr>
      <w:r>
        <w:t>🧠 Clinical Rationale: Starting distally preserves proximal veins for later needs and avoids flexion areas.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antecubital fossa — would be appropriate in a different situation, not this one</w:t>
      </w:r>
    </w:p>
    <w:p>
      <w:pPr>
        <w:spacing w:after="200" w:line="276" w:lineRule="auto"/>
      </w:pPr>
      <w:r>
        <w:t>C. Leg veins in adults — would be appropriate in a different situation, not this one</w:t>
      </w:r>
    </w:p>
    <w:p>
      <w:pPr>
        <w:spacing w:after="200" w:line="276" w:lineRule="auto"/>
      </w:pPr>
      <w:r>
        <w:t>D. The neck veins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drops per minute are required to infuse 500 ml of IV fluid over 5 hours with a drop factor of 20 drops/ml?</w:t>
      </w:r>
    </w:p>
    <w:p>
      <w:pPr>
        <w:spacing w:after="200" w:line="276" w:lineRule="auto"/>
      </w:pPr>
      <w:r>
        <w:t>(a) 20 gtt/min</w:t>
      </w:r>
    </w:p>
    <w:p>
      <w:pPr>
        <w:spacing w:after="200" w:line="276" w:lineRule="auto"/>
      </w:pPr>
      <w:r>
        <w:t>(b) 50 gtt/min</w:t>
      </w:r>
    </w:p>
    <w:p>
      <w:pPr>
        <w:spacing w:after="200" w:line="276" w:lineRule="auto"/>
      </w:pPr>
      <w:r>
        <w:t>(c) 33 gtt/min</w:t>
      </w:r>
    </w:p>
    <w:p>
      <w:pPr>
        <w:spacing w:after="200" w:line="276" w:lineRule="auto"/>
      </w:pPr>
      <w:r>
        <w:t>(d) 100 gtt/min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33 gtt/min</w:t>
      </w:r>
    </w:p>
    <w:p>
      <w:pPr>
        <w:spacing w:after="200" w:line="276" w:lineRule="auto"/>
      </w:pPr>
      <w:r>
        <w:t>🧠 Clinical Rationale: Volume × drop factor / minutes = (500×20)/(5×60) = 10000/300 ≈ 33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gtt/min — would result from an error in formula or unit conversion</w:t>
      </w:r>
    </w:p>
    <w:p>
      <w:pPr>
        <w:spacing w:after="200" w:line="276" w:lineRule="auto"/>
      </w:pPr>
      <w:r>
        <w:t>B. 50 gtt/min — would result from an error in formula or unit conversion</w:t>
      </w:r>
    </w:p>
    <w:p>
      <w:pPr>
        <w:spacing w:after="200" w:line="276" w:lineRule="auto"/>
      </w:pPr>
      <w:r>
        <w:t>D. 100 gtt/min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testing capillary blood glucose, the nurse should</w:t>
      </w:r>
    </w:p>
    <w:p>
      <w:pPr>
        <w:spacing w:after="200" w:line="276" w:lineRule="auto"/>
      </w:pPr>
      <w:r>
        <w:t>(a) Wash and dry the patient's hands and use a new lancet</w:t>
      </w:r>
    </w:p>
    <w:p>
      <w:pPr>
        <w:spacing w:after="200" w:line="276" w:lineRule="auto"/>
      </w:pPr>
      <w:r>
        <w:t>(b) Use an unwashed finger</w:t>
      </w:r>
    </w:p>
    <w:p>
      <w:pPr>
        <w:spacing w:after="200" w:line="276" w:lineRule="auto"/>
      </w:pPr>
      <w:r>
        <w:t>(c) Reuse lancets</w:t>
      </w:r>
    </w:p>
    <w:p>
      <w:pPr>
        <w:spacing w:after="200" w:line="276" w:lineRule="auto"/>
      </w:pPr>
      <w:r>
        <w:t>(d) Squeeze the fingertip hard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Wash and dry the patient's hands and use a new lancet</w:t>
      </w:r>
    </w:p>
    <w:p>
      <w:pPr>
        <w:spacing w:after="200" w:line="276" w:lineRule="auto"/>
      </w:pPr>
      <w:r>
        <w:t>🧠 Clinical Rationale: Clean dry hands and a fresh lancet give accurate results and prevent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Use an unwashed finger — would be appropriate in a different situation, not this one</w:t>
      </w:r>
    </w:p>
    <w:p>
      <w:pPr>
        <w:spacing w:after="200" w:line="276" w:lineRule="auto"/>
      </w:pPr>
      <w:r>
        <w:t>C. Reuse lancets — would be appropriate in a different situation, not this one</w:t>
      </w:r>
    </w:p>
    <w:p>
      <w:pPr>
        <w:spacing w:after="200" w:line="276" w:lineRule="auto"/>
      </w:pPr>
      <w:r>
        <w:t>D. Squeeze the fingertip hard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female urinary catheterization, the sterile field and catheter must NOT be contaminated by</w:t>
      </w:r>
    </w:p>
    <w:p>
      <w:pPr>
        <w:spacing w:after="200" w:line="276" w:lineRule="auto"/>
      </w:pPr>
      <w:r>
        <w:t>(a) Using sterile gloves</w:t>
      </w:r>
    </w:p>
    <w:p>
      <w:pPr>
        <w:spacing w:after="200" w:line="276" w:lineRule="auto"/>
      </w:pPr>
      <w:r>
        <w:t>(b) Cleaning with antiseptic</w:t>
      </w:r>
    </w:p>
    <w:p>
      <w:pPr>
        <w:spacing w:after="200" w:line="276" w:lineRule="auto"/>
      </w:pPr>
      <w:r>
        <w:t>(c) Using a sterile drape</w:t>
      </w:r>
    </w:p>
    <w:p>
      <w:pPr>
        <w:spacing w:after="200" w:line="276" w:lineRule="auto"/>
      </w:pPr>
      <w:r>
        <w:t>(d) Touching the catheter with non-sterile hands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Touching the catheter with non-sterile hands</w:t>
      </w:r>
    </w:p>
    <w:p>
      <w:pPr>
        <w:spacing w:after="200" w:line="276" w:lineRule="auto"/>
      </w:pPr>
      <w:r>
        <w:t>🧠 Clinical Rationale: Strict aseptic technique is essential — any non-sterile contact contaminates the catheter.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Using sterile gloves — would be appropriate in a different situation, not this one</w:t>
      </w:r>
    </w:p>
    <w:p>
      <w:pPr>
        <w:spacing w:after="200" w:line="276" w:lineRule="auto"/>
      </w:pPr>
      <w:r>
        <w:t>B. Cleaning with antiseptic — would be appropriate in a different situation, not this one</w:t>
      </w:r>
    </w:p>
    <w:p>
      <w:pPr>
        <w:spacing w:after="200" w:line="276" w:lineRule="auto"/>
      </w:pPr>
      <w:r>
        <w:t>C. Using a sterile drape — would be appropriate in a different situation, not this one</w:t>
      </w:r>
    </w:p>
    <w:p>
      <w:pPr>
        <w:spacing w:after="200" w:line="276" w:lineRule="auto"/>
      </w:pPr>
      <w:r>
        <w:t>⚠️ Exam Trap: Sterile field violations are the exam point: below-waist items, wet/damp surfaces, and reaching across the field all break sterility.</w:t>
      </w:r>
    </w:p>
    <w:p>
      <w:pPr>
        <w:spacing w:after="200" w:line="276" w:lineRule="auto"/>
      </w:pPr>
      <w:r>
        <w:t>💎 PNC Pearl: Sterile field rules: the outer 1-inch border is contaminated, never turn your back on the field, and keep it at or above waist level.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puerperium is the period of</w:t>
      </w:r>
    </w:p>
    <w:p>
      <w:pPr>
        <w:spacing w:after="200" w:line="276" w:lineRule="auto"/>
      </w:pPr>
      <w:r>
        <w:t>(a) 6 weeks following delivery</w:t>
      </w:r>
    </w:p>
    <w:p>
      <w:pPr>
        <w:spacing w:after="200" w:line="276" w:lineRule="auto"/>
      </w:pPr>
      <w:r>
        <w:t>(b) 24 hours after delivery</w:t>
      </w:r>
    </w:p>
    <w:p>
      <w:pPr>
        <w:spacing w:after="200" w:line="276" w:lineRule="auto"/>
      </w:pPr>
      <w:r>
        <w:t>(c) 3 months after delivery</w:t>
      </w:r>
    </w:p>
    <w:p>
      <w:pPr>
        <w:spacing w:after="200" w:line="276" w:lineRule="auto"/>
      </w:pPr>
      <w:r>
        <w:t>(d) 1 week after delivery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 weeks following delivery</w:t>
      </w:r>
    </w:p>
    <w:p>
      <w:pPr>
        <w:spacing w:after="200" w:line="276" w:lineRule="auto"/>
      </w:pPr>
      <w:r>
        <w:t>🧠 Clinical Rationale: The puerperium (postpartum period) lasts about 6 weeks, during which the uterus involutes.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24 hours after delivery — plausible, but not the single most accurate fact asked</w:t>
      </w:r>
    </w:p>
    <w:p>
      <w:pPr>
        <w:spacing w:after="200" w:line="276" w:lineRule="auto"/>
      </w:pPr>
      <w:r>
        <w:t>C. 3 months after delivery — plausible, but not the single most accurate fact asked</w:t>
      </w:r>
    </w:p>
    <w:p>
      <w:pPr>
        <w:spacing w:after="200" w:line="276" w:lineRule="auto"/>
      </w:pPr>
      <w:r>
        <w:t>D. 1 week after delivery — plausible, but not the single most accurate fact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Milk production (lactogenesis) after delivery is stimulated mainly by</w:t>
      </w:r>
    </w:p>
    <w:p>
      <w:pPr>
        <w:spacing w:after="200" w:line="276" w:lineRule="auto"/>
      </w:pPr>
      <w:r>
        <w:t>(a) Oestrogen</w:t>
      </w:r>
    </w:p>
    <w:p>
      <w:pPr>
        <w:spacing w:after="200" w:line="276" w:lineRule="auto"/>
      </w:pPr>
      <w:r>
        <w:t>(b) Progesterone</w:t>
      </w:r>
    </w:p>
    <w:p>
      <w:pPr>
        <w:spacing w:after="200" w:line="276" w:lineRule="auto"/>
      </w:pPr>
      <w:r>
        <w:t>(c) Oxytocin only</w:t>
      </w:r>
    </w:p>
    <w:p>
      <w:pPr>
        <w:spacing w:after="200" w:line="276" w:lineRule="auto"/>
      </w:pPr>
      <w:r>
        <w:t>(d) Prolactin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Prolactin</w:t>
      </w:r>
    </w:p>
    <w:p>
      <w:pPr>
        <w:spacing w:after="200" w:line="276" w:lineRule="auto"/>
      </w:pPr>
      <w:r>
        <w:t>🧠 Clinical Rationale: Prolactin from the anterior pituitary stimulates milk synthesis; oxytocin causes milk ejection.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Oestrogen — a related concept, but it does not match the defining feature asked</w:t>
      </w:r>
    </w:p>
    <w:p>
      <w:pPr>
        <w:spacing w:after="200" w:line="276" w:lineRule="auto"/>
      </w:pPr>
      <w:r>
        <w:t>B. Progesterone — a related concept, but it does not match the defining feature asked</w:t>
      </w:r>
    </w:p>
    <w:p>
      <w:pPr>
        <w:spacing w:after="200" w:line="276" w:lineRule="auto"/>
      </w:pPr>
      <w:r>
        <w:t>C. Oxytocin only — a related concept, but it does not match the defining feature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