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Oxytocin, the hormone that stimulates uterine contractions in labour, is secreted by the</w:t>
      </w:r>
    </w:p>
    <w:p>
      <w:pPr>
        <w:spacing w:after="200" w:line="276" w:lineRule="auto"/>
      </w:pPr>
      <w:r>
        <w:t>(a) Anterior pituitary</w:t>
      </w:r>
    </w:p>
    <w:p>
      <w:pPr>
        <w:spacing w:after="200" w:line="276" w:lineRule="auto"/>
      </w:pPr>
      <w:r>
        <w:t>(b) Posterior pituitary</w:t>
      </w:r>
    </w:p>
    <w:p>
      <w:pPr>
        <w:spacing w:after="200" w:line="276" w:lineRule="auto"/>
      </w:pPr>
      <w:r>
        <w:t>(c) Adrenal cortex</w:t>
      </w:r>
    </w:p>
    <w:p>
      <w:pPr>
        <w:spacing w:after="200" w:line="276" w:lineRule="auto"/>
      </w:pPr>
      <w:r>
        <w:t>(d) Thyroid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Posterior pituitary</w:t>
      </w:r>
    </w:p>
    <w:p>
      <w:pPr>
        <w:spacing w:after="200" w:line="276" w:lineRule="auto"/>
      </w:pPr>
      <w:r>
        <w:t>🧠 Clinical Rationale: Oxytocin is synthesized in the hypothalamus and released by the posterior pituitary.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Anterior pituitary — a related concept, but it does not match the defining feature asked</w:t>
      </w:r>
    </w:p>
    <w:p>
      <w:pPr>
        <w:spacing w:after="200" w:line="276" w:lineRule="auto"/>
      </w:pPr>
      <w:r>
        <w:t>C. Adrenal cortex — a related concept, but it does not match the defining feature asked</w:t>
      </w:r>
    </w:p>
    <w:p>
      <w:pPr>
        <w:spacing w:after="200" w:line="276" w:lineRule="auto"/>
      </w:pPr>
      <w:r>
        <w:t>D. Thyroid — a related concept, but it does not match the defining feature asked</w:t>
      </w:r>
    </w:p>
    <w:p>
      <w:pPr>
        <w:spacing w:after="200" w:line="276" w:lineRule="auto"/>
      </w:pPr>
      <w:r>
        <w:t>⚠️ Exam Trap: Oxytocin adverse effects include water intoxication and uterine hyperstimulation — not 'uterine relaxation'.</w:t>
      </w:r>
    </w:p>
    <w:p>
      <w:pPr>
        <w:spacing w:after="200" w:line="276" w:lineRule="auto"/>
      </w:pPr>
      <w:r>
        <w:t>💎 PNC Pearl: Oxytocin contracts the uterus — monitor uterine tone, bleeding and contractions; know that it can cause water intoxication.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reactive non-stress test means</w:t>
      </w:r>
    </w:p>
    <w:p>
      <w:pPr>
        <w:spacing w:after="200" w:line="276" w:lineRule="auto"/>
      </w:pPr>
      <w:r>
        <w:t>(a) No fetal movements</w:t>
      </w:r>
    </w:p>
    <w:p>
      <w:pPr>
        <w:spacing w:after="200" w:line="276" w:lineRule="auto"/>
      </w:pPr>
      <w:r>
        <w:t>(b) Fetal bradycardia</w:t>
      </w:r>
    </w:p>
    <w:p>
      <w:pPr>
        <w:spacing w:after="200" w:line="276" w:lineRule="auto"/>
      </w:pPr>
      <w:r>
        <w:t>(c) At least 2 fetal heart accelerations in 20 minutes</w:t>
      </w:r>
    </w:p>
    <w:p>
      <w:pPr>
        <w:spacing w:after="200" w:line="276" w:lineRule="auto"/>
      </w:pPr>
      <w:r>
        <w:t>(d) Contractions are present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At least 2 fetal heart accelerations in 20 minutes</w:t>
      </w:r>
    </w:p>
    <w:p>
      <w:pPr>
        <w:spacing w:after="200" w:line="276" w:lineRule="auto"/>
      </w:pPr>
      <w:r>
        <w:t>🧠 Clinical Rationale: Reactivity — two or more FHR accelerations ≥15 bpm for ≥15 seconds in 20 minutes — indicates fetal well-being.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fetal movements — does not match the characteristic feature/management described in the stem</w:t>
      </w:r>
    </w:p>
    <w:p>
      <w:pPr>
        <w:spacing w:after="200" w:line="276" w:lineRule="auto"/>
      </w:pPr>
      <w:r>
        <w:t>B. Fetal bradycardia — does not match the characteristic feature/management described in the stem</w:t>
      </w:r>
    </w:p>
    <w:p>
      <w:pPr>
        <w:spacing w:after="200" w:line="276" w:lineRule="auto"/>
      </w:pPr>
      <w:r>
        <w:t>D. Contractions are present — does not match the characteristic feature/management described in the stem</w:t>
      </w:r>
    </w:p>
    <w:p>
      <w:pPr>
        <w:spacing w:after="200" w:line="276" w:lineRule="auto"/>
      </w:pPr>
      <w:r>
        <w:t>⚠️ Exam Trap: Decelerations: LATE = placental insufficiency (reposition, oxygen, notify); VARIABLE = cord compression (change position); early = benign head compression.</w:t>
      </w:r>
    </w:p>
    <w:p>
      <w:pPr>
        <w:spacing w:after="200" w:line="276" w:lineRule="auto"/>
      </w:pPr>
      <w:r>
        <w:t>💎 PNC Pearl: Fetal heart rate baseline is 110–160 bpm — late decelerations = uteroplacental insufficiency, variable decelerations = cord compression.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Fetal monitoring</w:t>
      </w:r>
    </w:p>
    <w:p>
      <w:pPr>
        <w:spacing w:after="200" w:line="276" w:lineRule="auto"/>
      </w:pPr>
      <w:r>
        <w:t>→ Baseline FHR: 110–160 bpm</w:t>
      </w:r>
    </w:p>
    <w:p>
      <w:pPr>
        <w:spacing w:after="200" w:line="276" w:lineRule="auto"/>
      </w:pPr>
      <w:r>
        <w:t>→ Late decelerations: after contraction → uteroplacental insufficiency → left side, oxygen, notify</w:t>
      </w:r>
    </w:p>
    <w:p>
      <w:pPr>
        <w:spacing w:after="200" w:line="276" w:lineRule="auto"/>
      </w:pPr>
      <w:r>
        <w:t>→ Variable decelerations: cord compression → change position</w:t>
      </w:r>
    </w:p>
    <w:p>
      <w:pPr>
        <w:spacing w:after="200" w:line="276" w:lineRule="auto"/>
      </w:pPr>
      <w:r>
        <w:t>→ Early decelerations: head compression — benign</w:t>
      </w:r>
    </w:p>
    <w:p>
      <w:pPr>
        <w:spacing w:after="200" w:line="276" w:lineRule="auto"/>
      </w:pPr>
      <w:r>
        <w:t>→ NST: reactive = ≥ 2 accelerations in 20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Tocolytic drugs are used to</w:t>
      </w:r>
    </w:p>
    <w:p>
      <w:pPr>
        <w:spacing w:after="200" w:line="276" w:lineRule="auto"/>
      </w:pPr>
      <w:r>
        <w:t>(a) Suppress uterine contractions in preterm labour</w:t>
      </w:r>
    </w:p>
    <w:p>
      <w:pPr>
        <w:spacing w:after="200" w:line="276" w:lineRule="auto"/>
      </w:pPr>
      <w:r>
        <w:t>(b) Induce labour</w:t>
      </w:r>
    </w:p>
    <w:p>
      <w:pPr>
        <w:spacing w:after="200" w:line="276" w:lineRule="auto"/>
      </w:pPr>
      <w:r>
        <w:t>(c) Increase contractions</w:t>
      </w:r>
    </w:p>
    <w:p>
      <w:pPr>
        <w:spacing w:after="200" w:line="276" w:lineRule="auto"/>
      </w:pPr>
      <w:r>
        <w:t>(d) Relieve postpartum pain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Suppress uterine contractions in preterm labour</w:t>
      </w:r>
    </w:p>
    <w:p>
      <w:pPr>
        <w:spacing w:after="200" w:line="276" w:lineRule="auto"/>
      </w:pPr>
      <w:r>
        <w:t>🧠 Clinical Rationale: Tocolytics (nifedipine, terbutaline, atosiban) aim to delay preterm delivery for steroid benefit.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Induce labour — not the correct drug/class for this indication</w:t>
      </w:r>
    </w:p>
    <w:p>
      <w:pPr>
        <w:spacing w:after="200" w:line="276" w:lineRule="auto"/>
      </w:pPr>
      <w:r>
        <w:t>C. Increase contractions — not the correct drug/class for this indication</w:t>
      </w:r>
    </w:p>
    <w:p>
      <w:pPr>
        <w:spacing w:after="200" w:line="276" w:lineRule="auto"/>
      </w:pPr>
      <w:r>
        <w:t>D. Relieve postpartum pain — not the correct drug/class for this indication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Preterm / low birth weight</w:t>
      </w:r>
    </w:p>
    <w:p>
      <w:pPr>
        <w:spacing w:after="200" w:line="276" w:lineRule="auto"/>
      </w:pPr>
      <w:r>
        <w:t>→ Risks: hypothermia, hypoglycaemia, RDS, infection, feeding difficulty</w:t>
      </w:r>
    </w:p>
    <w:p>
      <w:pPr>
        <w:spacing w:after="200" w:line="276" w:lineRule="auto"/>
      </w:pPr>
      <w:r>
        <w:t>→ Kangaroo mother care: skin-to-skin, early and prolonged</w:t>
      </w:r>
    </w:p>
    <w:p>
      <w:pPr>
        <w:spacing w:after="200" w:line="276" w:lineRule="auto"/>
      </w:pPr>
      <w:r>
        <w:t>→ Feeding: frequent small feeds, monitor weight gain, gavage if weak suck</w:t>
      </w:r>
    </w:p>
    <w:p>
      <w:pPr>
        <w:spacing w:after="200" w:line="276" w:lineRule="auto"/>
      </w:pPr>
      <w:r>
        <w:t>→ RDS: surfactant therapy, CPAP/ventilation, monitor respiratory distress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Premature rupture of membranes is defined as rupture of membranes</w:t>
      </w:r>
    </w:p>
    <w:p>
      <w:pPr>
        <w:spacing w:after="200" w:line="276" w:lineRule="auto"/>
      </w:pPr>
      <w:r>
        <w:t>(a) After full dilatation</w:t>
      </w:r>
    </w:p>
    <w:p>
      <w:pPr>
        <w:spacing w:after="200" w:line="276" w:lineRule="auto"/>
      </w:pPr>
      <w:r>
        <w:t>(b) During the second stage</w:t>
      </w:r>
    </w:p>
    <w:p>
      <w:pPr>
        <w:spacing w:after="200" w:line="276" w:lineRule="auto"/>
      </w:pPr>
      <w:r>
        <w:t>(c) Before the onset of labour</w:t>
      </w:r>
    </w:p>
    <w:p>
      <w:pPr>
        <w:spacing w:after="200" w:line="276" w:lineRule="auto"/>
      </w:pPr>
      <w:r>
        <w:t>(d) At delivery of the placenta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Before the onset of labour</w:t>
      </w:r>
    </w:p>
    <w:p>
      <w:pPr>
        <w:spacing w:after="200" w:line="276" w:lineRule="auto"/>
      </w:pPr>
      <w:r>
        <w:t>🧠 Clinical Rationale: PROM is membrane rupture before labour begins; PROM before 37 weeks is preterm PROM.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After full dilatation — does not match the characteristic feature/management described in the stem</w:t>
      </w:r>
    </w:p>
    <w:p>
      <w:pPr>
        <w:spacing w:after="200" w:line="276" w:lineRule="auto"/>
      </w:pPr>
      <w:r>
        <w:t>B. During the second stage — does not match the characteristic feature/management described in the stem</w:t>
      </w:r>
    </w:p>
    <w:p>
      <w:pPr>
        <w:spacing w:after="200" w:line="276" w:lineRule="auto"/>
      </w:pPr>
      <w:r>
        <w:t>D. At delivery of the placenta — does not match the characteristic feature/management described in the stem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Preterm / low birth weight</w:t>
      </w:r>
    </w:p>
    <w:p>
      <w:pPr>
        <w:spacing w:after="200" w:line="276" w:lineRule="auto"/>
      </w:pPr>
      <w:r>
        <w:t>→ Risks: hypothermia, hypoglycaemia, RDS, infection, feeding difficulty</w:t>
      </w:r>
    </w:p>
    <w:p>
      <w:pPr>
        <w:spacing w:after="200" w:line="276" w:lineRule="auto"/>
      </w:pPr>
      <w:r>
        <w:t>→ Kangaroo mother care: skin-to-skin, early and prolonged</w:t>
      </w:r>
    </w:p>
    <w:p>
      <w:pPr>
        <w:spacing w:after="200" w:line="276" w:lineRule="auto"/>
      </w:pPr>
      <w:r>
        <w:t>→ Feeding: frequent small feeds, monitor weight gain, gavage if weak suck</w:t>
      </w:r>
    </w:p>
    <w:p>
      <w:pPr>
        <w:spacing w:after="200" w:line="276" w:lineRule="auto"/>
      </w:pPr>
      <w:r>
        <w:t>→ RDS: surfactant therapy, CPAP/ventilation, monitor respiratory distress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Newborn screening for congenital hypothyroidism is important because early treatment</w:t>
      </w:r>
    </w:p>
    <w:p>
      <w:pPr>
        <w:spacing w:after="200" w:line="276" w:lineRule="auto"/>
      </w:pPr>
      <w:r>
        <w:t>(a) Cures heart disease</w:t>
      </w:r>
    </w:p>
    <w:p>
      <w:pPr>
        <w:spacing w:after="200" w:line="276" w:lineRule="auto"/>
      </w:pPr>
      <w:r>
        <w:t>(b) Improves eyesight</w:t>
      </w:r>
    </w:p>
    <w:p>
      <w:pPr>
        <w:spacing w:after="200" w:line="276" w:lineRule="auto"/>
      </w:pPr>
      <w:r>
        <w:t>(c) Prevents mental retardation</w:t>
      </w:r>
    </w:p>
    <w:p>
      <w:pPr>
        <w:spacing w:after="200" w:line="276" w:lineRule="auto"/>
      </w:pPr>
      <w:r>
        <w:t>(d) Prevents jaundice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Prevents mental retardation</w:t>
      </w:r>
    </w:p>
    <w:p>
      <w:pPr>
        <w:spacing w:after="200" w:line="276" w:lineRule="auto"/>
      </w:pPr>
      <w:r>
        <w:t>🧠 Clinical Rationale: Untreated congenital hypothyroidism causes irreversible intellectual disability; screening and levothyroxine prevent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Cures heart disease — a related concept, but it does not match the defining feature asked</w:t>
      </w:r>
    </w:p>
    <w:p>
      <w:pPr>
        <w:spacing w:after="200" w:line="276" w:lineRule="auto"/>
      </w:pPr>
      <w:r>
        <w:t>B. Improves eyesight — a related concept, but it does not match the defining feature asked</w:t>
      </w:r>
    </w:p>
    <w:p>
      <w:pPr>
        <w:spacing w:after="200" w:line="276" w:lineRule="auto"/>
      </w:pPr>
      <w:r>
        <w:t>D. Prevents jaundice — a related concept, but it does not match the defining feature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baby born before which gestational age is classified as preterm?</w:t>
      </w:r>
    </w:p>
    <w:p>
      <w:pPr>
        <w:spacing w:after="200" w:line="276" w:lineRule="auto"/>
      </w:pPr>
      <w:r>
        <w:t>(a) 37 completed weeks</w:t>
      </w:r>
    </w:p>
    <w:p>
      <w:pPr>
        <w:spacing w:after="200" w:line="276" w:lineRule="auto"/>
      </w:pPr>
      <w:r>
        <w:t>(b) 40 weeks</w:t>
      </w:r>
    </w:p>
    <w:p>
      <w:pPr>
        <w:spacing w:after="200" w:line="276" w:lineRule="auto"/>
      </w:pPr>
      <w:r>
        <w:t>(c) 34 weeks</w:t>
      </w:r>
    </w:p>
    <w:p>
      <w:pPr>
        <w:spacing w:after="200" w:line="276" w:lineRule="auto"/>
      </w:pPr>
      <w:r>
        <w:t>(d) 28 weeks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37 completed weeks</w:t>
      </w:r>
    </w:p>
    <w:p>
      <w:pPr>
        <w:spacing w:after="200" w:line="276" w:lineRule="auto"/>
      </w:pPr>
      <w:r>
        <w:t>🧠 Clinical Rationale: Preterm: birth before 37 completed weeks of gestation.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40 weeks — plausible, but not the single most accurate fact asked</w:t>
      </w:r>
    </w:p>
    <w:p>
      <w:pPr>
        <w:spacing w:after="200" w:line="276" w:lineRule="auto"/>
      </w:pPr>
      <w:r>
        <w:t>C. 34 weeks — plausible, but not the single most accurate fact asked</w:t>
      </w:r>
    </w:p>
    <w:p>
      <w:pPr>
        <w:spacing w:after="200" w:line="276" w:lineRule="auto"/>
      </w:pPr>
      <w:r>
        <w:t>D. 28 weeks — plausible, but not the single most accurate fact asked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Intrauterine growth restriction refers to</w:t>
      </w:r>
    </w:p>
    <w:p>
      <w:pPr>
        <w:spacing w:after="200" w:line="276" w:lineRule="auto"/>
      </w:pPr>
      <w:r>
        <w:t>(a) Excess fetal growth</w:t>
      </w:r>
    </w:p>
    <w:p>
      <w:pPr>
        <w:spacing w:after="200" w:line="276" w:lineRule="auto"/>
      </w:pPr>
      <w:r>
        <w:t>(b) Fetal growth below the expected weight for gestational age</w:t>
      </w:r>
    </w:p>
    <w:p>
      <w:pPr>
        <w:spacing w:after="200" w:line="276" w:lineRule="auto"/>
      </w:pPr>
      <w:r>
        <w:t>(c) A multiple pregnancy</w:t>
      </w:r>
    </w:p>
    <w:p>
      <w:pPr>
        <w:spacing w:after="200" w:line="276" w:lineRule="auto"/>
      </w:pPr>
      <w:r>
        <w:t>(d) A breech presentation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Fetal growth below the expected weight for gestational age</w:t>
      </w:r>
    </w:p>
    <w:p>
      <w:pPr>
        <w:spacing w:after="200" w:line="276" w:lineRule="auto"/>
      </w:pPr>
      <w:r>
        <w:t>🧠 Clinical Rationale: IUGR babies fail to achieve their growth potential in utero and are small for gestational 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Excess fetal growth — a related concept, but it does not match the defining feature asked</w:t>
      </w:r>
    </w:p>
    <w:p>
      <w:pPr>
        <w:spacing w:after="200" w:line="276" w:lineRule="auto"/>
      </w:pPr>
      <w:r>
        <w:t>C. A multiple pregnancy — a related concept, but it does not match the defining feature asked</w:t>
      </w:r>
    </w:p>
    <w:p>
      <w:pPr>
        <w:spacing w:after="200" w:line="276" w:lineRule="auto"/>
      </w:pPr>
      <w:r>
        <w:t>D. A breech presentation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mother of a newborn should be advised to feed</w:t>
      </w:r>
    </w:p>
    <w:p>
      <w:pPr>
        <w:spacing w:after="200" w:line="276" w:lineRule="auto"/>
      </w:pPr>
      <w:r>
        <w:t>(a) Only every 6 hours</w:t>
      </w:r>
    </w:p>
    <w:p>
      <w:pPr>
        <w:spacing w:after="200" w:line="276" w:lineRule="auto"/>
      </w:pPr>
      <w:r>
        <w:t>(b) Only at night</w:t>
      </w:r>
    </w:p>
    <w:p>
      <w:pPr>
        <w:spacing w:after="200" w:line="276" w:lineRule="auto"/>
      </w:pPr>
      <w:r>
        <w:t>(c) On a strict 4-hourly schedule from birth</w:t>
      </w:r>
    </w:p>
    <w:p>
      <w:pPr>
        <w:spacing w:after="200" w:line="276" w:lineRule="auto"/>
      </w:pPr>
      <w:r>
        <w:t>(d) On demand, whenever the baby shows hunger cues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On demand, whenever the baby shows hunger cues</w:t>
      </w:r>
    </w:p>
    <w:p>
      <w:pPr>
        <w:spacing w:after="200" w:line="276" w:lineRule="auto"/>
      </w:pPr>
      <w:r>
        <w:t>🧠 Clinical Rationale: Demand feeding — 8–12 feeds in 24 hours — supports milk supply and newborn nutrition.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every 6 hours — would be appropriate in a different situation, not this one</w:t>
      </w:r>
    </w:p>
    <w:p>
      <w:pPr>
        <w:spacing w:after="200" w:line="276" w:lineRule="auto"/>
      </w:pPr>
      <w:r>
        <w:t>B. Only at night — would be appropriate in a different situation, not this one</w:t>
      </w:r>
    </w:p>
    <w:p>
      <w:pPr>
        <w:spacing w:after="200" w:line="276" w:lineRule="auto"/>
      </w:pPr>
      <w:r>
        <w:t>C. On a strict 4-hourly schedule from birth — would be appropriate in a different situation, not this one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clinical feature of rickets in a young child is</w:t>
      </w:r>
    </w:p>
    <w:p>
      <w:pPr>
        <w:spacing w:after="200" w:line="276" w:lineRule="auto"/>
      </w:pPr>
      <w:r>
        <w:t>(a) Firm straight legs</w:t>
      </w:r>
    </w:p>
    <w:p>
      <w:pPr>
        <w:spacing w:after="200" w:line="276" w:lineRule="auto"/>
      </w:pPr>
      <w:r>
        <w:t>(b) Normal dentition</w:t>
      </w:r>
    </w:p>
    <w:p>
      <w:pPr>
        <w:spacing w:after="200" w:line="276" w:lineRule="auto"/>
      </w:pPr>
      <w:r>
        <w:t>(c) Overgrowth of height</w:t>
      </w:r>
    </w:p>
    <w:p>
      <w:pPr>
        <w:spacing w:after="200" w:line="276" w:lineRule="auto"/>
      </w:pPr>
      <w:r>
        <w:t>(d) Bowed legs and rachitic rosary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Bowed legs and rachitic rosary</w:t>
      </w:r>
    </w:p>
    <w:p>
      <w:pPr>
        <w:spacing w:after="200" w:line="276" w:lineRule="auto"/>
      </w:pPr>
      <w:r>
        <w:t>🧠 Clinical Rationale: Rickets causes bowed legs, knock-knees, rachitic rosary (beading of ribs) and delayed milestones.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Firm straight legs — does not match the characteristic feature/management described in the stem</w:t>
      </w:r>
    </w:p>
    <w:p>
      <w:pPr>
        <w:spacing w:after="200" w:line="276" w:lineRule="auto"/>
      </w:pPr>
      <w:r>
        <w:t>B. Normal dentition — does not match the characteristic feature/management described in the stem</w:t>
      </w:r>
    </w:p>
    <w:p>
      <w:pPr>
        <w:spacing w:after="200" w:line="276" w:lineRule="auto"/>
      </w:pPr>
      <w:r>
        <w:t>C. Overgrowth of height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prevent anaemia, iron supplementation in children is started at</w:t>
      </w:r>
    </w:p>
    <w:p>
      <w:pPr>
        <w:spacing w:after="200" w:line="276" w:lineRule="auto"/>
      </w:pPr>
      <w:r>
        <w:t>(a) Birth</w:t>
      </w:r>
    </w:p>
    <w:p>
      <w:pPr>
        <w:spacing w:after="200" w:line="276" w:lineRule="auto"/>
      </w:pPr>
      <w:r>
        <w:t>(b) 6 months of age</w:t>
      </w:r>
    </w:p>
    <w:p>
      <w:pPr>
        <w:spacing w:after="200" w:line="276" w:lineRule="auto"/>
      </w:pPr>
      <w:r>
        <w:t>(c) 3 years</w:t>
      </w:r>
    </w:p>
    <w:p>
      <w:pPr>
        <w:spacing w:after="200" w:line="276" w:lineRule="auto"/>
      </w:pPr>
      <w:r>
        <w:t>(d) 10 years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6 months of age</w:t>
      </w:r>
    </w:p>
    <w:p>
      <w:pPr>
        <w:spacing w:after="200" w:line="276" w:lineRule="auto"/>
      </w:pPr>
      <w:r>
        <w:t>🧠 Clinical Rationale: IFA prophylaxis begins at 6 months (iron drops) along with complementary feeding.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Birth — would be appropriate in a different situation, not this one</w:t>
      </w:r>
    </w:p>
    <w:p>
      <w:pPr>
        <w:spacing w:after="200" w:line="276" w:lineRule="auto"/>
      </w:pPr>
      <w:r>
        <w:t>C. 3 years — would be appropriate in a different situation, not this one</w:t>
      </w:r>
    </w:p>
    <w:p>
      <w:pPr>
        <w:spacing w:after="200" w:line="276" w:lineRule="auto"/>
      </w:pPr>
      <w:r>
        <w:t>D. 10 years — would be appropriate in a different situation, not this one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goal of 'Health for All by the Year 2000' was adopted at</w:t>
      </w:r>
    </w:p>
    <w:p>
      <w:pPr>
        <w:spacing w:after="200" w:line="276" w:lineRule="auto"/>
      </w:pPr>
      <w:r>
        <w:t>(a) Alma-Ata, 1978</w:t>
      </w:r>
    </w:p>
    <w:p>
      <w:pPr>
        <w:spacing w:after="200" w:line="276" w:lineRule="auto"/>
      </w:pPr>
      <w:r>
        <w:t>(b) Geneva, 1950</w:t>
      </w:r>
    </w:p>
    <w:p>
      <w:pPr>
        <w:spacing w:after="200" w:line="276" w:lineRule="auto"/>
      </w:pPr>
      <w:r>
        <w:t>(c) New Delhi, 1983</w:t>
      </w:r>
    </w:p>
    <w:p>
      <w:pPr>
        <w:spacing w:after="200" w:line="276" w:lineRule="auto"/>
      </w:pPr>
      <w:r>
        <w:t>(d) Rio de Janeiro, 1992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Alma-Ata, 1978</w:t>
      </w:r>
    </w:p>
    <w:p>
      <w:pPr>
        <w:spacing w:after="200" w:line="276" w:lineRule="auto"/>
      </w:pPr>
      <w:r>
        <w:t>🧠 Clinical Rationale: The Alma-Ata Declaration (1978) set the goal of Health for All through primary health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Geneva, 1950 — plausible, but not the single most accurate fact asked</w:t>
      </w:r>
    </w:p>
    <w:p>
      <w:pPr>
        <w:spacing w:after="200" w:line="276" w:lineRule="auto"/>
      </w:pPr>
      <w:r>
        <w:t>C. New Delhi, 1983 — plausible, but not the single most accurate fact asked</w:t>
      </w:r>
    </w:p>
    <w:p>
      <w:pPr>
        <w:spacing w:after="200" w:line="276" w:lineRule="auto"/>
      </w:pPr>
      <w:r>
        <w:t>D. Rio de Janeiro, 1992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Smallpox was officially declared eradicated from the world in</w:t>
      </w:r>
    </w:p>
    <w:p>
      <w:pPr>
        <w:spacing w:after="200" w:line="276" w:lineRule="auto"/>
      </w:pPr>
      <w:r>
        <w:t>(a) 1960</w:t>
      </w:r>
    </w:p>
    <w:p>
      <w:pPr>
        <w:spacing w:after="200" w:line="276" w:lineRule="auto"/>
      </w:pPr>
      <w:r>
        <w:t>(b) 1990</w:t>
      </w:r>
    </w:p>
    <w:p>
      <w:pPr>
        <w:spacing w:after="200" w:line="276" w:lineRule="auto"/>
      </w:pPr>
      <w:r>
        <w:t>(c) 1977 (last case) / 1980 (declared)</w:t>
      </w:r>
    </w:p>
    <w:p>
      <w:pPr>
        <w:spacing w:after="200" w:line="276" w:lineRule="auto"/>
      </w:pPr>
      <w:r>
        <w:t>(d) 1955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1977 (last case) / 1980 (declared)</w:t>
      </w:r>
    </w:p>
    <w:p>
      <w:pPr>
        <w:spacing w:after="200" w:line="276" w:lineRule="auto"/>
      </w:pPr>
      <w:r>
        <w:t>🧠 Clinical Rationale: The last natural smallpox case was in 1977, and eradication was certified in 1980.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NACO (National AIDS Control Organisation) coordinates India's</w:t>
      </w:r>
    </w:p>
    <w:p>
      <w:pPr>
        <w:spacing w:after="200" w:line="276" w:lineRule="auto"/>
      </w:pPr>
      <w:r>
        <w:t>(a) HIV/AIDS control programme</w:t>
      </w:r>
    </w:p>
    <w:p>
      <w:pPr>
        <w:spacing w:after="200" w:line="276" w:lineRule="auto"/>
      </w:pPr>
      <w:r>
        <w:t>(b) Tuberculosis programme</w:t>
      </w:r>
    </w:p>
    <w:p>
      <w:pPr>
        <w:spacing w:after="200" w:line="276" w:lineRule="auto"/>
      </w:pPr>
      <w:r>
        <w:t>(c) Malaria programme</w:t>
      </w:r>
    </w:p>
    <w:p>
      <w:pPr>
        <w:spacing w:after="200" w:line="276" w:lineRule="auto"/>
      </w:pPr>
      <w:r>
        <w:t>(d) Blindness programme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HIV/AIDS control programme</w:t>
      </w:r>
    </w:p>
    <w:p>
      <w:pPr>
        <w:spacing w:after="200" w:line="276" w:lineRule="auto"/>
      </w:pPr>
      <w:r>
        <w:t>🧠 Clinical Rationale: NACO, under the Ministry of Health, leads India's HIV/AIDS prevention and control efforts.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Tuberculosis programme — plausible, but not the single most accurate fact asked</w:t>
      </w:r>
    </w:p>
    <w:p>
      <w:pPr>
        <w:spacing w:after="200" w:line="276" w:lineRule="auto"/>
      </w:pPr>
      <w:r>
        <w:t>C. Malaria programme — plausible, but not the single most accurate fact asked</w:t>
      </w:r>
    </w:p>
    <w:p>
      <w:pPr>
        <w:spacing w:after="200" w:line="276" w:lineRule="auto"/>
      </w:pPr>
      <w:r>
        <w:t>D. Blindness programme — plausible, but not the single most accurate fact asked</w:t>
      </w:r>
    </w:p>
    <w:p>
      <w:pPr>
        <w:spacing w:after="200" w:line="276" w:lineRule="auto"/>
      </w:pPr>
      <w:r>
        <w:t>⚠️ Exam Trap: Needlestick protocol: wash with soap and water, report immediately, start PEP within 72 h — do not squeeze the wound.</w:t>
      </w:r>
    </w:p>
    <w:p>
      <w:pPr>
        <w:spacing w:after="200" w:line="276" w:lineRule="auto"/>
      </w:pPr>
      <w:r>
        <w:t>💎 PNC Pearl: HIV post-exposure prophylaxis (PEP) must start within 72 hours of exposure — and use standard precautions to prevent exposure.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primary tool for diagnosing pulmonary TB in community settings is</w:t>
      </w:r>
    </w:p>
    <w:p>
      <w:pPr>
        <w:spacing w:after="200" w:line="276" w:lineRule="auto"/>
      </w:pPr>
      <w:r>
        <w:t>(a) ECG</w:t>
      </w:r>
    </w:p>
    <w:p>
      <w:pPr>
        <w:spacing w:after="200" w:line="276" w:lineRule="auto"/>
      </w:pPr>
      <w:r>
        <w:t>(b) Ultrasound</w:t>
      </w:r>
    </w:p>
    <w:p>
      <w:pPr>
        <w:spacing w:after="200" w:line="276" w:lineRule="auto"/>
      </w:pPr>
      <w:r>
        <w:t>(c) Sputum examination (smear/NAAT)</w:t>
      </w:r>
    </w:p>
    <w:p>
      <w:pPr>
        <w:spacing w:after="200" w:line="276" w:lineRule="auto"/>
      </w:pPr>
      <w:r>
        <w:t>(d) Urine culture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Sputum examination (smear/NAAT)</w:t>
      </w:r>
    </w:p>
    <w:p>
      <w:pPr>
        <w:spacing w:after="200" w:line="276" w:lineRule="auto"/>
      </w:pPr>
      <w:r>
        <w:t>🧠 Clinical Rationale: Sputum smear microscopy and molecular tests (CBNAAT) confirm pulmonary TB.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ECG — a related concept, but it does not match the defining feature asked</w:t>
      </w:r>
    </w:p>
    <w:p>
      <w:pPr>
        <w:spacing w:after="200" w:line="276" w:lineRule="auto"/>
      </w:pPr>
      <w:r>
        <w:t>B. Ultrasound — a related concept, but it does not match the defining feature asked</w:t>
      </w:r>
    </w:p>
    <w:p>
      <w:pPr>
        <w:spacing w:after="200" w:line="276" w:lineRule="auto"/>
      </w:pPr>
      <w:r>
        <w:t>D. Urine culture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Weekly Iron and Folic Acid Supplementation (WIFS) programme targets</w:t>
      </w:r>
    </w:p>
    <w:p>
      <w:pPr>
        <w:spacing w:after="200" w:line="276" w:lineRule="auto"/>
      </w:pPr>
      <w:r>
        <w:t>(a) Newborns</w:t>
      </w:r>
    </w:p>
    <w:p>
      <w:pPr>
        <w:spacing w:after="200" w:line="276" w:lineRule="auto"/>
      </w:pPr>
      <w:r>
        <w:t>(b) Elderly men</w:t>
      </w:r>
    </w:p>
    <w:p>
      <w:pPr>
        <w:spacing w:after="200" w:line="276" w:lineRule="auto"/>
      </w:pPr>
      <w:r>
        <w:t>(c) Pregnant women only</w:t>
      </w:r>
    </w:p>
    <w:p>
      <w:pPr>
        <w:spacing w:after="200" w:line="276" w:lineRule="auto"/>
      </w:pPr>
      <w:r>
        <w:t>(d) Adolescent school children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Adolescent school children</w:t>
      </w:r>
    </w:p>
    <w:p>
      <w:pPr>
        <w:spacing w:after="200" w:line="276" w:lineRule="auto"/>
      </w:pPr>
      <w:r>
        <w:t>🧠 Clinical Rationale: WIFS provides supervised weekly IFA to adolescents (10–19 years) to prevent anaemia.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Newborns — plausible, but not the single most accurate fact asked</w:t>
      </w:r>
    </w:p>
    <w:p>
      <w:pPr>
        <w:spacing w:after="200" w:line="276" w:lineRule="auto"/>
      </w:pPr>
      <w:r>
        <w:t>B. Elderly men — plausible, but not the single most accurate fact asked</w:t>
      </w:r>
    </w:p>
    <w:p>
      <w:pPr>
        <w:spacing w:after="200" w:line="276" w:lineRule="auto"/>
      </w:pPr>
      <w:r>
        <w:t>C. Pregnant women only — plausible, but not the single most accurate fact asked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effective health education approach for illiterate rural women is</w:t>
      </w:r>
    </w:p>
    <w:p>
      <w:pPr>
        <w:spacing w:after="200" w:line="276" w:lineRule="auto"/>
      </w:pPr>
      <w:r>
        <w:t>(a) Demonstration and group discussion</w:t>
      </w:r>
    </w:p>
    <w:p>
      <w:pPr>
        <w:spacing w:after="200" w:line="276" w:lineRule="auto"/>
      </w:pPr>
      <w:r>
        <w:t>(b) Written pamphlets only</w:t>
      </w:r>
    </w:p>
    <w:p>
      <w:pPr>
        <w:spacing w:after="200" w:line="276" w:lineRule="auto"/>
      </w:pPr>
      <w:r>
        <w:t>(c) Textbook reading</w:t>
      </w:r>
    </w:p>
    <w:p>
      <w:pPr>
        <w:spacing w:after="200" w:line="276" w:lineRule="auto"/>
      </w:pPr>
      <w:r>
        <w:t>(d) Legal notices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Demonstration and group discussion</w:t>
      </w:r>
    </w:p>
    <w:p>
      <w:pPr>
        <w:spacing w:after="200" w:line="276" w:lineRule="auto"/>
      </w:pPr>
      <w:r>
        <w:t>🧠 Clinical Rationale: Demonstrations and discussions communicate effectively with low-literacy groups.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Written pamphlets only — a related concept, but it does not match the defining feature asked</w:t>
      </w:r>
    </w:p>
    <w:p>
      <w:pPr>
        <w:spacing w:after="200" w:line="276" w:lineRule="auto"/>
      </w:pPr>
      <w:r>
        <w:t>C. Textbook reading — a related concept, but it does not match the defining feature asked</w:t>
      </w:r>
    </w:p>
    <w:p>
      <w:pPr>
        <w:spacing w:after="200" w:line="276" w:lineRule="auto"/>
      </w:pPr>
      <w:r>
        <w:t>D. Legal notices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Clopidogrel is an</w:t>
      </w:r>
    </w:p>
    <w:p>
      <w:pPr>
        <w:spacing w:after="200" w:line="276" w:lineRule="auto"/>
      </w:pPr>
      <w:r>
        <w:t>(a) Anticoagulant</w:t>
      </w:r>
    </w:p>
    <w:p>
      <w:pPr>
        <w:spacing w:after="200" w:line="276" w:lineRule="auto"/>
      </w:pPr>
      <w:r>
        <w:t>(b) Thrombolytic</w:t>
      </w:r>
    </w:p>
    <w:p>
      <w:pPr>
        <w:spacing w:after="200" w:line="276" w:lineRule="auto"/>
      </w:pPr>
      <w:r>
        <w:t>(c) Vasodilator</w:t>
      </w:r>
    </w:p>
    <w:p>
      <w:pPr>
        <w:spacing w:after="200" w:line="276" w:lineRule="auto"/>
      </w:pPr>
      <w:r>
        <w:t>(d) Antiplatelet agent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Antiplatelet agent</w:t>
      </w:r>
    </w:p>
    <w:p>
      <w:pPr>
        <w:spacing w:after="200" w:line="276" w:lineRule="auto"/>
      </w:pPr>
      <w:r>
        <w:t>🧠 Clinical Rationale: Clopidogrel inhibits platelet aggregation and is used after stents and in ACS.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Anticoagulant — not the correct drug/class for this indication</w:t>
      </w:r>
    </w:p>
    <w:p>
      <w:pPr>
        <w:spacing w:after="200" w:line="276" w:lineRule="auto"/>
      </w:pPr>
      <w:r>
        <w:t>B. Thrombolytic — not the correct drug/class for this indication</w:t>
      </w:r>
    </w:p>
    <w:p>
      <w:pPr>
        <w:spacing w:after="200" w:line="276" w:lineRule="auto"/>
      </w:pPr>
      <w:r>
        <w:t>C. Vasodilator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key advantage of rivaroxaban over warfarin is</w:t>
      </w:r>
    </w:p>
    <w:p>
      <w:pPr>
        <w:spacing w:after="200" w:line="276" w:lineRule="auto"/>
      </w:pPr>
      <w:r>
        <w:t>(a) No bleeding risk</w:t>
      </w:r>
    </w:p>
    <w:p>
      <w:pPr>
        <w:spacing w:after="200" w:line="276" w:lineRule="auto"/>
      </w:pPr>
      <w:r>
        <w:t>(b) Can be given IV only</w:t>
      </w:r>
    </w:p>
    <w:p>
      <w:pPr>
        <w:spacing w:after="200" w:line="276" w:lineRule="auto"/>
      </w:pPr>
      <w:r>
        <w:t>(c) Acts instantly</w:t>
      </w:r>
    </w:p>
    <w:p>
      <w:pPr>
        <w:spacing w:after="200" w:line="276" w:lineRule="auto"/>
      </w:pPr>
      <w:r>
        <w:t>(d) No routine INR monitoring needed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No routine INR monitoring needed</w:t>
      </w:r>
    </w:p>
    <w:p>
      <w:pPr>
        <w:spacing w:after="200" w:line="276" w:lineRule="auto"/>
      </w:pPr>
      <w:r>
        <w:t>🧠 Clinical Rationale: Direct oral anticoagulants have predictable dosing without routine coagulation monitoring.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bleeding risk — not the correct drug/class for this indication</w:t>
      </w:r>
    </w:p>
    <w:p>
      <w:pPr>
        <w:spacing w:after="200" w:line="276" w:lineRule="auto"/>
      </w:pPr>
      <w:r>
        <w:t>B. Can be given IV only — not the correct drug/class for this indication</w:t>
      </w:r>
    </w:p>
    <w:p>
      <w:pPr>
        <w:spacing w:after="200" w:line="276" w:lineRule="auto"/>
      </w:pPr>
      <w:r>
        <w:t>C. Acts instantly — not the correct drug/class for this indication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Warfarin</w:t>
      </w:r>
    </w:p>
    <w:p>
      <w:pPr>
        <w:spacing w:after="200" w:line="276" w:lineRule="auto"/>
      </w:pPr>
      <w:r>
        <w:t>→ Monitor: INR (2–3 for most indications)</w:t>
      </w:r>
    </w:p>
    <w:p>
      <w:pPr>
        <w:spacing w:after="200" w:line="276" w:lineRule="auto"/>
      </w:pPr>
      <w:r>
        <w:t>→ Antidote: Vitamin K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Interacts with many drugs and vitamin-K-rich foods</w:t>
      </w:r>
    </w:p>
    <w:p>
      <w:pPr>
        <w:spacing w:after="200" w:line="276" w:lineRule="auto"/>
      </w:pPr>
      <w:r>
        <w:t>→ Effect peaks after 36–72 h (overlaps with heparin initially)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Atorvastatin is usually taken</w:t>
      </w:r>
    </w:p>
    <w:p>
      <w:pPr>
        <w:spacing w:after="200" w:line="276" w:lineRule="auto"/>
      </w:pPr>
      <w:r>
        <w:t>(a) Every 6 hours</w:t>
      </w:r>
    </w:p>
    <w:p>
      <w:pPr>
        <w:spacing w:after="200" w:line="276" w:lineRule="auto"/>
      </w:pPr>
      <w:r>
        <w:t>(b) Once daily, often in the evening</w:t>
      </w:r>
    </w:p>
    <w:p>
      <w:pPr>
        <w:spacing w:after="200" w:line="276" w:lineRule="auto"/>
      </w:pPr>
      <w:r>
        <w:t>(c) Only at noon</w:t>
      </w:r>
    </w:p>
    <w:p>
      <w:pPr>
        <w:spacing w:after="200" w:line="276" w:lineRule="auto"/>
      </w:pPr>
      <w:r>
        <w:t>(d) With grapefruit juice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Once daily, often in the evening</w:t>
      </w:r>
    </w:p>
    <w:p>
      <w:pPr>
        <w:spacing w:after="200" w:line="276" w:lineRule="auto"/>
      </w:pPr>
      <w:r>
        <w:t>🧠 Clinical Rationale: Cholesterol synthesis peaks at night; evening dosing maximizes statin effect (and grapefruit is avoided).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Every 6 hours — not the correct drug/class for this indication</w:t>
      </w:r>
    </w:p>
    <w:p>
      <w:pPr>
        <w:spacing w:after="200" w:line="276" w:lineRule="auto"/>
      </w:pPr>
      <w:r>
        <w:t>C. Only at noon — not the correct drug/class for this indication</w:t>
      </w:r>
    </w:p>
    <w:p>
      <w:pPr>
        <w:spacing w:after="200" w:line="276" w:lineRule="auto"/>
      </w:pPr>
      <w:r>
        <w:t>D. With grapefruit juice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Verapamil (a calcium channel blocker) should be used with caution in patients with</w:t>
      </w:r>
    </w:p>
    <w:p>
      <w:pPr>
        <w:spacing w:after="200" w:line="276" w:lineRule="auto"/>
      </w:pPr>
      <w:r>
        <w:t>(a) Hypertension</w:t>
      </w:r>
    </w:p>
    <w:p>
      <w:pPr>
        <w:spacing w:after="200" w:line="276" w:lineRule="auto"/>
      </w:pPr>
      <w:r>
        <w:t>(b) Heart failure or bradycardia</w:t>
      </w:r>
    </w:p>
    <w:p>
      <w:pPr>
        <w:spacing w:after="200" w:line="276" w:lineRule="auto"/>
      </w:pPr>
      <w:r>
        <w:t>(c) Migraine</w:t>
      </w:r>
    </w:p>
    <w:p>
      <w:pPr>
        <w:spacing w:after="200" w:line="276" w:lineRule="auto"/>
      </w:pPr>
      <w:r>
        <w:t>(d) Asthma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Heart failure or bradycardia</w:t>
      </w:r>
    </w:p>
    <w:p>
      <w:pPr>
        <w:spacing w:after="200" w:line="276" w:lineRule="auto"/>
      </w:pPr>
      <w:r>
        <w:t>🧠 Clinical Rationale: Verapamil depresses conduction and contractility, worsening heart failure and bradyarrhythmias.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Hypertension — not the correct drug/class for this indication</w:t>
      </w:r>
    </w:p>
    <w:p>
      <w:pPr>
        <w:spacing w:after="200" w:line="276" w:lineRule="auto"/>
      </w:pPr>
      <w:r>
        <w:t>C. Migraine — not the correct drug/class for this indication</w:t>
      </w:r>
    </w:p>
    <w:p>
      <w:pPr>
        <w:spacing w:after="200" w:line="276" w:lineRule="auto"/>
      </w:pPr>
      <w:r>
        <w:t>D. Asthma only — not the correct drug/class for this indication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Heart failure</w:t>
      </w:r>
    </w:p>
    <w:p>
      <w:pPr>
        <w:spacing w:after="200" w:line="276" w:lineRule="auto"/>
      </w:pPr>
      <w:r>
        <w:t>→ Clues: dyspnoea, orthopnoea, oedema, fatigue, weight gain, crackles</w:t>
      </w:r>
    </w:p>
    <w:p>
      <w:pPr>
        <w:spacing w:after="200" w:line="276" w:lineRule="auto"/>
      </w:pPr>
      <w:r>
        <w:t>→ Monitor: daily weight, I/O, electrolytes, digoxin levels</w:t>
      </w:r>
    </w:p>
    <w:p>
      <w:pPr>
        <w:spacing w:after="200" w:line="276" w:lineRule="auto"/>
      </w:pPr>
      <w:r>
        <w:t>→ Drugs: ACE inhibitors, beta-blockers, diuretics; digoxin for symptoms</w:t>
      </w:r>
    </w:p>
    <w:p>
      <w:pPr>
        <w:spacing w:after="200" w:line="276" w:lineRule="auto"/>
      </w:pPr>
      <w:r>
        <w:t>→ Acute pulmonary oedema: high Fowler's, oxygen, furosemide IV, morphine</w:t>
      </w:r>
    </w:p>
    <w:p>
      <w:pPr>
        <w:spacing w:after="200" w:line="276" w:lineRule="auto"/>
      </w:pPr>
      <w:r>
        <w:t>→ Avoid: excess salt, alcohol, NSAIDs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