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taking metronidazole must be advised to</w:t>
      </w:r>
    </w:p>
    <w:p>
      <w:pPr>
        <w:spacing w:after="200" w:line="276" w:lineRule="auto"/>
      </w:pPr>
      <w:r>
        <w:t>(a) Drink plenty of milk</w:t>
      </w:r>
    </w:p>
    <w:p>
      <w:pPr>
        <w:spacing w:after="200" w:line="276" w:lineRule="auto"/>
      </w:pPr>
      <w:r>
        <w:t>(b) Avoid all fruits</w:t>
      </w:r>
    </w:p>
    <w:p>
      <w:pPr>
        <w:spacing w:after="200" w:line="276" w:lineRule="auto"/>
      </w:pPr>
      <w:r>
        <w:t>(c) Take on an empty stomach only</w:t>
      </w:r>
    </w:p>
    <w:p>
      <w:pPr>
        <w:spacing w:after="200" w:line="276" w:lineRule="auto"/>
      </w:pPr>
      <w:r>
        <w:t>(d) Avoid alcohol (disulfiram-like reaction)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Avoid alcohol (disulfiram-like reaction)</w:t>
      </w:r>
    </w:p>
    <w:p>
      <w:pPr>
        <w:spacing w:after="200" w:line="276" w:lineRule="auto"/>
      </w:pPr>
      <w:r>
        <w:t>🧠 Clinical Rationale: Metronidazole with alcohol causes flushing, vomiting and palpitations — a disulfiram-like reaction.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Drink plenty of milk — not the correct drug/class for this indication</w:t>
      </w:r>
    </w:p>
    <w:p>
      <w:pPr>
        <w:spacing w:after="200" w:line="276" w:lineRule="auto"/>
      </w:pPr>
      <w:r>
        <w:t>B. Avoid all fruits — not the correct drug/class for this indication</w:t>
      </w:r>
    </w:p>
    <w:p>
      <w:pPr>
        <w:spacing w:after="200" w:line="276" w:lineRule="auto"/>
      </w:pPr>
      <w:r>
        <w:t>C. Take on an empty stomach only — not the correct drug/class for this indication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Fluconazole is an</w:t>
      </w:r>
    </w:p>
    <w:p>
      <w:pPr>
        <w:spacing w:after="200" w:line="276" w:lineRule="auto"/>
      </w:pPr>
      <w:r>
        <w:t>(a) Antibiotic</w:t>
      </w:r>
    </w:p>
    <w:p>
      <w:pPr>
        <w:spacing w:after="200" w:line="276" w:lineRule="auto"/>
      </w:pPr>
      <w:r>
        <w:t>(b) Antiviral</w:t>
      </w:r>
    </w:p>
    <w:p>
      <w:pPr>
        <w:spacing w:after="200" w:line="276" w:lineRule="auto"/>
      </w:pPr>
      <w:r>
        <w:t>(c) Antifungal agent</w:t>
      </w:r>
    </w:p>
    <w:p>
      <w:pPr>
        <w:spacing w:after="200" w:line="276" w:lineRule="auto"/>
      </w:pPr>
      <w:r>
        <w:t>(d) Antimalarial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Antifungal agent</w:t>
      </w:r>
    </w:p>
    <w:p>
      <w:pPr>
        <w:spacing w:after="200" w:line="276" w:lineRule="auto"/>
      </w:pPr>
      <w:r>
        <w:t>🧠 Clinical Rationale: Fluconazole, an azole antifungal, treats candidal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 — not the correct drug/class for this indication</w:t>
      </w:r>
    </w:p>
    <w:p>
      <w:pPr>
        <w:spacing w:after="200" w:line="276" w:lineRule="auto"/>
      </w:pPr>
      <w:r>
        <w:t>B. Antiviral — not the correct drug/class for this indication</w:t>
      </w:r>
    </w:p>
    <w:p>
      <w:pPr>
        <w:spacing w:after="200" w:line="276" w:lineRule="auto"/>
      </w:pPr>
      <w:r>
        <w:t>D. Antimalarial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long-term adverse effect of phenytoin is</w:t>
      </w:r>
    </w:p>
    <w:p>
      <w:pPr>
        <w:spacing w:after="200" w:line="276" w:lineRule="auto"/>
      </w:pPr>
      <w:r>
        <w:t>(a) Weight loss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Gingival (gum) hyperplasia</w:t>
      </w:r>
    </w:p>
    <w:p>
      <w:pPr>
        <w:spacing w:after="200" w:line="276" w:lineRule="auto"/>
      </w:pPr>
      <w:r>
        <w:t>(d) Dry mouth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Gingival (gum) hyperplasia</w:t>
      </w:r>
    </w:p>
    <w:p>
      <w:pPr>
        <w:spacing w:after="200" w:line="276" w:lineRule="auto"/>
      </w:pPr>
      <w:r>
        <w:t>🧠 Clinical Rationale: Phenytoin causes gum overgrowth, hirsutism, ataxia and megaloblastic anaemia with chronic 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loss — not the correct drug/class for this indication</w:t>
      </w:r>
    </w:p>
    <w:p>
      <w:pPr>
        <w:spacing w:after="200" w:line="276" w:lineRule="auto"/>
      </w:pPr>
      <w:r>
        <w:t>B. Bradycardia — not the correct drug/class for this indication</w:t>
      </w:r>
    </w:p>
    <w:p>
      <w:pPr>
        <w:spacing w:after="200" w:line="276" w:lineRule="auto"/>
      </w:pPr>
      <w:r>
        <w:t>D. Dry mouth only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Methyldopa is commonly used in pregnancy for</w:t>
      </w:r>
    </w:p>
    <w:p>
      <w:pPr>
        <w:spacing w:after="200" w:line="276" w:lineRule="auto"/>
      </w:pPr>
      <w:r>
        <w:t>(a) Gestational diabetes</w:t>
      </w:r>
    </w:p>
    <w:p>
      <w:pPr>
        <w:spacing w:after="200" w:line="276" w:lineRule="auto"/>
      </w:pPr>
      <w:r>
        <w:t>(b) Chronic hypertension</w:t>
      </w:r>
    </w:p>
    <w:p>
      <w:pPr>
        <w:spacing w:after="200" w:line="276" w:lineRule="auto"/>
      </w:pPr>
      <w:r>
        <w:t>(c) Morning sickness</w:t>
      </w:r>
    </w:p>
    <w:p>
      <w:pPr>
        <w:spacing w:after="200" w:line="276" w:lineRule="auto"/>
      </w:pPr>
      <w:r>
        <w:t>(d) Oedema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Chronic hypertension</w:t>
      </w:r>
    </w:p>
    <w:p>
      <w:pPr>
        <w:spacing w:after="200" w:line="276" w:lineRule="auto"/>
      </w:pPr>
      <w:r>
        <w:t>🧠 Clinical Rationale: Methyldopa (with labetalol/nifedipine) is a preferred antihypertensive in pregnancy due to its safety profile.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Gestational diabetes — not the correct drug/class for this indication</w:t>
      </w:r>
    </w:p>
    <w:p>
      <w:pPr>
        <w:spacing w:after="200" w:line="276" w:lineRule="auto"/>
      </w:pPr>
      <w:r>
        <w:t>C. Morning sickness — not the correct drug/class for this indication</w:t>
      </w:r>
    </w:p>
    <w:p>
      <w:pPr>
        <w:spacing w:after="200" w:line="276" w:lineRule="auto"/>
      </w:pPr>
      <w:r>
        <w:t>D. Oedema — not the correct drug/class for this indication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adverse effect of nifedipine is</w:t>
      </w:r>
    </w:p>
    <w:p>
      <w:pPr>
        <w:spacing w:after="200" w:line="276" w:lineRule="auto"/>
      </w:pPr>
      <w:r>
        <w:t>(a) Constipation only</w:t>
      </w:r>
    </w:p>
    <w:p>
      <w:pPr>
        <w:spacing w:after="200" w:line="276" w:lineRule="auto"/>
      </w:pPr>
      <w:r>
        <w:t>(b) Flushing, headache and ankle oedema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Dry eyes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Flushing, headache and ankle oedema</w:t>
      </w:r>
    </w:p>
    <w:p>
      <w:pPr>
        <w:spacing w:after="200" w:line="276" w:lineRule="auto"/>
      </w:pPr>
      <w:r>
        <w:t>🧠 Clinical Rationale: Calcium channel blockers cause vasodilation — flushing, headache, dizziness and ankle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only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D. Dry eyes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Methylergometrine is CONTRAINDICATED in a postpartum patient with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Uterine atony</w:t>
      </w:r>
    </w:p>
    <w:p>
      <w:pPr>
        <w:spacing w:after="200" w:line="276" w:lineRule="auto"/>
      </w:pPr>
      <w:r>
        <w:t>(c) Mild anaemia</w:t>
      </w:r>
    </w:p>
    <w:p>
      <w:pPr>
        <w:spacing w:after="200" w:line="276" w:lineRule="auto"/>
      </w:pPr>
      <w:r>
        <w:t>(d) Breastfeeding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Hypertension</w:t>
      </w:r>
    </w:p>
    <w:p>
      <w:pPr>
        <w:spacing w:after="200" w:line="276" w:lineRule="auto"/>
      </w:pPr>
      <w:r>
        <w:t>🧠 Clinical Rationale: Ergot alkaloids raise blood pressure; methylergometrine is avoided in hypertensive women.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Uterine atony — not the correct drug/class for this indication</w:t>
      </w:r>
    </w:p>
    <w:p>
      <w:pPr>
        <w:spacing w:after="200" w:line="276" w:lineRule="auto"/>
      </w:pPr>
      <w:r>
        <w:t>C. Mild anaemia — not the correct drug/class for this indication</w:t>
      </w:r>
    </w:p>
    <w:p>
      <w:pPr>
        <w:spacing w:after="200" w:line="276" w:lineRule="auto"/>
      </w:pPr>
      <w:r>
        <w:t>D. Breastfeeding — not the correct drug/class for this indication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Myocardial infarction may be 'silent' (without chest pain) most often in patients with</w:t>
      </w:r>
    </w:p>
    <w:p>
      <w:pPr>
        <w:spacing w:after="200" w:line="276" w:lineRule="auto"/>
      </w:pPr>
      <w:r>
        <w:t>(a) Diabetes mellitus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Migraine</w:t>
      </w:r>
    </w:p>
    <w:p>
      <w:pPr>
        <w:spacing w:after="200" w:line="276" w:lineRule="auto"/>
      </w:pPr>
      <w:r>
        <w:t>(d) Skin allergy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Diabetes mellitus</w:t>
      </w:r>
    </w:p>
    <w:p>
      <w:pPr>
        <w:spacing w:after="200" w:line="276" w:lineRule="auto"/>
      </w:pPr>
      <w:r>
        <w:t>🧠 Clinical Rationale: Diabetic neuropathy blunts cardiac pain, causing silent ischaemia and atypical MI presentations.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Asthma — does not match the characteristic feature/management described in the stem</w:t>
      </w:r>
    </w:p>
    <w:p>
      <w:pPr>
        <w:spacing w:after="200" w:line="276" w:lineRule="auto"/>
      </w:pPr>
      <w:r>
        <w:t>C. Migraine — does not match the characteristic feature/management described in the stem</w:t>
      </w:r>
    </w:p>
    <w:p>
      <w:pPr>
        <w:spacing w:after="200" w:line="276" w:lineRule="auto"/>
      </w:pPr>
      <w:r>
        <w:t>D. Skin allergy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heart failure who must sleep propped up on pillows has</w:t>
      </w:r>
    </w:p>
    <w:p>
      <w:pPr>
        <w:spacing w:after="200" w:line="276" w:lineRule="auto"/>
      </w:pPr>
      <w:r>
        <w:t>(a) Cheyne-Stokes breathing only</w:t>
      </w:r>
    </w:p>
    <w:p>
      <w:pPr>
        <w:spacing w:after="200" w:line="276" w:lineRule="auto"/>
      </w:pPr>
      <w:r>
        <w:t>(b) Kussmaul breathing</w:t>
      </w:r>
    </w:p>
    <w:p>
      <w:pPr>
        <w:spacing w:after="200" w:line="276" w:lineRule="auto"/>
      </w:pPr>
      <w:r>
        <w:t>(c) Stridor</w:t>
      </w:r>
    </w:p>
    <w:p>
      <w:pPr>
        <w:spacing w:after="200" w:line="276" w:lineRule="auto"/>
      </w:pPr>
      <w:r>
        <w:t>(d) Orthopnoea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Orthopnoea</w:t>
      </w:r>
    </w:p>
    <w:p>
      <w:pPr>
        <w:spacing w:after="200" w:line="276" w:lineRule="auto"/>
      </w:pPr>
      <w:r>
        <w:t>🧠 Clinical Rationale: Orthopnoea — dyspnoea on lying flat, relieved by sitting up — reflects pulmonary congestion.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Cheyne-Stokes breathing only — does not match the characteristic feature/management described in the stem</w:t>
      </w:r>
    </w:p>
    <w:p>
      <w:pPr>
        <w:spacing w:after="200" w:line="276" w:lineRule="auto"/>
      </w:pPr>
      <w:r>
        <w:t>B. Kussmaul breathing — does not match the characteristic feature/management described in the stem</w:t>
      </w:r>
    </w:p>
    <w:p>
      <w:pPr>
        <w:spacing w:after="200" w:line="276" w:lineRule="auto"/>
      </w:pPr>
      <w:r>
        <w:t>C. Stridor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instruction for sublingual nitroglycerin in angina is</w:t>
      </w:r>
    </w:p>
    <w:p>
      <w:pPr>
        <w:spacing w:after="200" w:line="276" w:lineRule="auto"/>
      </w:pPr>
      <w:r>
        <w:t>(a) Take one tablet; if pain persists after 5 minutes, take a second; call for help if no relief after 3 doses</w:t>
      </w:r>
    </w:p>
    <w:p>
      <w:pPr>
        <w:spacing w:after="200" w:line="276" w:lineRule="auto"/>
      </w:pPr>
      <w:r>
        <w:t>(b) Chew all tablets at once</w:t>
      </w:r>
    </w:p>
    <w:p>
      <w:pPr>
        <w:spacing w:after="200" w:line="276" w:lineRule="auto"/>
      </w:pPr>
      <w:r>
        <w:t>(c) Swallow with water</w:t>
      </w:r>
    </w:p>
    <w:p>
      <w:pPr>
        <w:spacing w:after="200" w:line="276" w:lineRule="auto"/>
      </w:pPr>
      <w:r>
        <w:t>(d) Take only after exercise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Take one tablet; if pain persists after 5 minutes, take a second; call for help if no relief after 3 doses</w:t>
      </w:r>
    </w:p>
    <w:p>
      <w:pPr>
        <w:spacing w:after="200" w:line="276" w:lineRule="auto"/>
      </w:pPr>
      <w:r>
        <w:t>🧠 Clinical Rationale: Standard: 1 tablet sublingually, repeat at 5-minute intervals (max 3), with emergency help if pain continues.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Chew all tablets at once — would be appropriate in a different situation, not this one</w:t>
      </w:r>
    </w:p>
    <w:p>
      <w:pPr>
        <w:spacing w:after="200" w:line="276" w:lineRule="auto"/>
      </w:pPr>
      <w:r>
        <w:t>C. Swallow with water — would be appropriate in a different situation, not this one</w:t>
      </w:r>
    </w:p>
    <w:p>
      <w:pPr>
        <w:spacing w:after="200" w:line="276" w:lineRule="auto"/>
      </w:pPr>
      <w:r>
        <w:t>D. Take only after exercise — would be appropriate in a different situation, not this one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advises a hypertensive patient that antihypertensive medication should be</w:t>
      </w:r>
    </w:p>
    <w:p>
      <w:pPr>
        <w:spacing w:after="200" w:line="276" w:lineRule="auto"/>
      </w:pPr>
      <w:r>
        <w:t>(a) Stopped when symptoms improve</w:t>
      </w:r>
    </w:p>
    <w:p>
      <w:pPr>
        <w:spacing w:after="200" w:line="276" w:lineRule="auto"/>
      </w:pPr>
      <w:r>
        <w:t>(b) Taken regularly even when the blood pressure is normal</w:t>
      </w:r>
    </w:p>
    <w:p>
      <w:pPr>
        <w:spacing w:after="200" w:line="276" w:lineRule="auto"/>
      </w:pPr>
      <w:r>
        <w:t>(c) Taken only on headache days</w:t>
      </w:r>
    </w:p>
    <w:p>
      <w:pPr>
        <w:spacing w:after="200" w:line="276" w:lineRule="auto"/>
      </w:pPr>
      <w:r>
        <w:t>(d) Shared with family members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Taken regularly even when the blood pressure is normal</w:t>
      </w:r>
    </w:p>
    <w:p>
      <w:pPr>
        <w:spacing w:after="200" w:line="276" w:lineRule="auto"/>
      </w:pPr>
      <w:r>
        <w:t>🧠 Clinical Rationale: Lifelong regular medication, not symptom-based dosing, controls hypertension and prevents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Stopped when symptoms improve — would be appropriate in a different situation, not this one</w:t>
      </w:r>
    </w:p>
    <w:p>
      <w:pPr>
        <w:spacing w:after="200" w:line="276" w:lineRule="auto"/>
      </w:pPr>
      <w:r>
        <w:t>C. Taken only on headache days — would be appropriate in a different situation, not this one</w:t>
      </w:r>
    </w:p>
    <w:p>
      <w:pPr>
        <w:spacing w:after="200" w:line="276" w:lineRule="auto"/>
      </w:pPr>
      <w:r>
        <w:t>D. Shared with family members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FAST mnemonic for stroke, 'A' stands for</w:t>
      </w:r>
    </w:p>
    <w:p>
      <w:pPr>
        <w:spacing w:after="200" w:line="276" w:lineRule="auto"/>
      </w:pPr>
      <w:r>
        <w:t>(a) Arm weakness</w:t>
      </w:r>
    </w:p>
    <w:p>
      <w:pPr>
        <w:spacing w:after="200" w:line="276" w:lineRule="auto"/>
      </w:pPr>
      <w:r>
        <w:t>(b) Appetite</w:t>
      </w:r>
    </w:p>
    <w:p>
      <w:pPr>
        <w:spacing w:after="200" w:line="276" w:lineRule="auto"/>
      </w:pPr>
      <w:r>
        <w:t>(c) Alertness</w:t>
      </w:r>
    </w:p>
    <w:p>
      <w:pPr>
        <w:spacing w:after="200" w:line="276" w:lineRule="auto"/>
      </w:pPr>
      <w:r>
        <w:t>(d) Anxiety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Arm weakness</w:t>
      </w:r>
    </w:p>
    <w:p>
      <w:pPr>
        <w:spacing w:after="200" w:line="276" w:lineRule="auto"/>
      </w:pPr>
      <w:r>
        <w:t>🧠 Clinical Rationale: FAST: Face drooping, Arm weakness, Speech difficulty, Time to call emergency services.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Appetite — would be appropriate in a different situation, not this one</w:t>
      </w:r>
    </w:p>
    <w:p>
      <w:pPr>
        <w:spacing w:after="200" w:line="276" w:lineRule="auto"/>
      </w:pPr>
      <w:r>
        <w:t>C. Alertness — would be appropriate in a different situation, not this one</w:t>
      </w:r>
    </w:p>
    <w:p>
      <w:pPr>
        <w:spacing w:after="200" w:line="276" w:lineRule="auto"/>
      </w:pPr>
      <w:r>
        <w:t>D. Anxiety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'tripod position' (leaning forward with arms supported) helps COPD patients by</w:t>
      </w:r>
    </w:p>
    <w:p>
      <w:pPr>
        <w:spacing w:after="200" w:line="276" w:lineRule="auto"/>
      </w:pPr>
      <w:r>
        <w:t>(a) Increasing heart rate</w:t>
      </w:r>
    </w:p>
    <w:p>
      <w:pPr>
        <w:spacing w:after="200" w:line="276" w:lineRule="auto"/>
      </w:pPr>
      <w:r>
        <w:t>(b) Maximizing accessory muscle use and air exchange</w:t>
      </w:r>
    </w:p>
    <w:p>
      <w:pPr>
        <w:spacing w:after="200" w:line="276" w:lineRule="auto"/>
      </w:pPr>
      <w:r>
        <w:t>(c) Cooling the body</w:t>
      </w:r>
    </w:p>
    <w:p>
      <w:pPr>
        <w:spacing w:after="200" w:line="276" w:lineRule="auto"/>
      </w:pPr>
      <w:r>
        <w:t>(d) Reducing oxygen needs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Maximizing accessory muscle use and air exchange</w:t>
      </w:r>
    </w:p>
    <w:p>
      <w:pPr>
        <w:spacing w:after="200" w:line="276" w:lineRule="auto"/>
      </w:pPr>
      <w:r>
        <w:t>🧠 Clinical Rationale: Leaning forward stabilizes the shoulder girdle, letting accessory muscles assist breathing.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heart rate — would be appropriate in a different situation, not this one</w:t>
      </w:r>
    </w:p>
    <w:p>
      <w:pPr>
        <w:spacing w:after="200" w:line="276" w:lineRule="auto"/>
      </w:pPr>
      <w:r>
        <w:t>C. Cooling the body — would be appropriate in a different situation, not this one</w:t>
      </w:r>
    </w:p>
    <w:p>
      <w:pPr>
        <w:spacing w:after="200" w:line="276" w:lineRule="auto"/>
      </w:pPr>
      <w:r>
        <w:t>D. Reducing oxygen needs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older adults, pneumonia may present atypically with</w:t>
      </w:r>
    </w:p>
    <w:p>
      <w:pPr>
        <w:spacing w:after="200" w:line="276" w:lineRule="auto"/>
      </w:pPr>
      <w:r>
        <w:t>(a) High fever with rigors</w:t>
      </w:r>
    </w:p>
    <w:p>
      <w:pPr>
        <w:spacing w:after="200" w:line="276" w:lineRule="auto"/>
      </w:pPr>
      <w:r>
        <w:t>(b) Haemoptysis only</w:t>
      </w:r>
    </w:p>
    <w:p>
      <w:pPr>
        <w:spacing w:after="200" w:line="276" w:lineRule="auto"/>
      </w:pPr>
      <w:r>
        <w:t>(c) Rash</w:t>
      </w:r>
    </w:p>
    <w:p>
      <w:pPr>
        <w:spacing w:after="200" w:line="276" w:lineRule="auto"/>
      </w:pPr>
      <w:r>
        <w:t>(d) Confusion and falls instead of fever and cough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Confusion and falls instead of fever and cough</w:t>
      </w:r>
    </w:p>
    <w:p>
      <w:pPr>
        <w:spacing w:after="200" w:line="276" w:lineRule="auto"/>
      </w:pPr>
      <w:r>
        <w:t>🧠 Clinical Rationale: Elderly patients with pneumonia often show confusion, lethargy or falls without classic fever/cough.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fever with rigors — does not match the characteristic feature/management described in the stem</w:t>
      </w:r>
    </w:p>
    <w:p>
      <w:pPr>
        <w:spacing w:after="200" w:line="276" w:lineRule="auto"/>
      </w:pPr>
      <w:r>
        <w:t>B. Haemoptysis only — does not match the characteristic feature/management described in the stem</w:t>
      </w:r>
    </w:p>
    <w:p>
      <w:pPr>
        <w:spacing w:after="200" w:line="276" w:lineRule="auto"/>
      </w:pPr>
      <w:r>
        <w:t>C. Rash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first-line treatment of H. pylori peptic ulcer includes</w:t>
      </w:r>
    </w:p>
    <w:p>
      <w:pPr>
        <w:spacing w:after="200" w:line="276" w:lineRule="auto"/>
      </w:pPr>
      <w:r>
        <w:t>(a) Only antacids</w:t>
      </w:r>
    </w:p>
    <w:p>
      <w:pPr>
        <w:spacing w:after="200" w:line="276" w:lineRule="auto"/>
      </w:pPr>
      <w:r>
        <w:t>(b) Aspirin alone</w:t>
      </w:r>
    </w:p>
    <w:p>
      <w:pPr>
        <w:spacing w:after="200" w:line="276" w:lineRule="auto"/>
      </w:pPr>
      <w:r>
        <w:t>(c) PPI + two antibiotics (clarithromycin + amoxicillin/metronidazole)</w:t>
      </w:r>
    </w:p>
    <w:p>
      <w:pPr>
        <w:spacing w:after="200" w:line="276" w:lineRule="auto"/>
      </w:pPr>
      <w:r>
        <w:t>(d) Vitamin supplements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PPI + two antibiotics (clarithromycin + amoxicillin/metronidazole)</w:t>
      </w:r>
    </w:p>
    <w:p>
      <w:pPr>
        <w:spacing w:after="200" w:line="276" w:lineRule="auto"/>
      </w:pPr>
      <w:r>
        <w:t>🧠 Clinical Rationale: Triple therapy — a PPI with clarithromycin and amoxicillin (or metronidazole) — eradicates H. pylori.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antacids — not the correct drug/class for this indication</w:t>
      </w:r>
    </w:p>
    <w:p>
      <w:pPr>
        <w:spacing w:after="200" w:line="276" w:lineRule="auto"/>
      </w:pPr>
      <w:r>
        <w:t>B. Aspirin alone — not the correct drug/class for this indication</w:t>
      </w:r>
    </w:p>
    <w:p>
      <w:pPr>
        <w:spacing w:after="200" w:line="276" w:lineRule="auto"/>
      </w:pPr>
      <w:r>
        <w:t>D. Vitamin supplements — not the correct drug/class for this indication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symptom in a GERD patient warrants urgent evaluation?</w:t>
      </w:r>
    </w:p>
    <w:p>
      <w:pPr>
        <w:spacing w:after="200" w:line="276" w:lineRule="auto"/>
      </w:pPr>
      <w:r>
        <w:t>(a) Heartburn after spicy food</w:t>
      </w:r>
    </w:p>
    <w:p>
      <w:pPr>
        <w:spacing w:after="200" w:line="276" w:lineRule="auto"/>
      </w:pPr>
      <w:r>
        <w:t>(b) Mild regurgitation</w:t>
      </w:r>
    </w:p>
    <w:p>
      <w:pPr>
        <w:spacing w:after="200" w:line="276" w:lineRule="auto"/>
      </w:pPr>
      <w:r>
        <w:t>(c) Difficulty swallowing or weight loss</w:t>
      </w:r>
    </w:p>
    <w:p>
      <w:pPr>
        <w:spacing w:after="200" w:line="276" w:lineRule="auto"/>
      </w:pPr>
      <w:r>
        <w:t>(d) Occasional belching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Difficulty swallowing or weight loss</w:t>
      </w:r>
    </w:p>
    <w:p>
      <w:pPr>
        <w:spacing w:after="200" w:line="276" w:lineRule="auto"/>
      </w:pPr>
      <w:r>
        <w:t>🧠 Clinical Rationale: Dysphagia, odynophagia, weight loss, anaemia or bleeding are alarm features needing endoscopy.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GERD - Alarm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Difficulty swallowing or weight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Heartburn after spicy food — does not address the immediate life-threatening problem (ABC comes first)</w:t>
      </w:r>
    </w:p>
    <w:p>
      <w:pPr>
        <w:spacing w:after="200" w:line="276" w:lineRule="auto"/>
      </w:pPr>
      <w:r>
        <w:t>B. Mild regurgitation — does not address the immediate life-threatening problem (ABC comes first)</w:t>
      </w:r>
    </w:p>
    <w:p>
      <w:pPr>
        <w:spacing w:after="200" w:line="276" w:lineRule="auto"/>
      </w:pPr>
      <w:r>
        <w:t>D. Occasional belching — does not address the immediate life-threatening problem (ABC comes first)</w:t>
      </w:r>
    </w:p>
    <w:p>
      <w:pPr>
        <w:spacing w:after="200" w:line="276" w:lineRule="auto"/>
      </w:pPr>
      <w:r>
        <w:t>⚠️ Exam Trap: GERD lifestyle measures are the exam points: HOB elevation, small meals, no food 2–3 h before bed, weight loss — not just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GERD: elevate the head of the bed, avoid large/spicy late meals and smoking — antacids/PPIs relieve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GERD</w:t>
      </w:r>
    </w:p>
    <w:p>
      <w:pPr>
        <w:spacing w:after="200" w:line="276" w:lineRule="auto"/>
      </w:pPr>
      <w:r>
        <w:t>→ Clues: heartburn, regurgitation, worse lying down/after meals</w:t>
      </w:r>
    </w:p>
    <w:p>
      <w:pPr>
        <w:spacing w:after="200" w:line="276" w:lineRule="auto"/>
      </w:pPr>
      <w:r>
        <w:t>→ Lifestyle: HOB elevated, small frequent meals, avoid caffeine/spicy/fatty food, no late meals</w:t>
      </w:r>
    </w:p>
    <w:p>
      <w:pPr>
        <w:spacing w:after="200" w:line="276" w:lineRule="auto"/>
      </w:pPr>
      <w:r>
        <w:t>→ Drugs: antacids, H2 blockers, PPIs (most effective)</w:t>
      </w:r>
    </w:p>
    <w:p>
      <w:pPr>
        <w:spacing w:after="200" w:line="276" w:lineRule="auto"/>
      </w:pPr>
      <w:r>
        <w:t>→ Complications: oesophagitis, stricture, Barrett's oesophagus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Black, tarry stools (melena) usually indicate bleeding from</w:t>
      </w:r>
    </w:p>
    <w:p>
      <w:pPr>
        <w:spacing w:after="200" w:line="276" w:lineRule="auto"/>
      </w:pPr>
      <w:r>
        <w:t>(a) The upper gastrointestinal tract</w:t>
      </w:r>
    </w:p>
    <w:p>
      <w:pPr>
        <w:spacing w:after="200" w:line="276" w:lineRule="auto"/>
      </w:pPr>
      <w:r>
        <w:t>(b) Haemorrhoids</w:t>
      </w:r>
    </w:p>
    <w:p>
      <w:pPr>
        <w:spacing w:after="200" w:line="276" w:lineRule="auto"/>
      </w:pPr>
      <w:r>
        <w:t>(c) The rectum only</w:t>
      </w:r>
    </w:p>
    <w:p>
      <w:pPr>
        <w:spacing w:after="200" w:line="276" w:lineRule="auto"/>
      </w:pPr>
      <w:r>
        <w:t>(d) The bladder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upper gastrointestinal tract</w:t>
      </w:r>
    </w:p>
    <w:p>
      <w:pPr>
        <w:spacing w:after="200" w:line="276" w:lineRule="auto"/>
      </w:pPr>
      <w:r>
        <w:t>🧠 Clinical Rationale: Melena results from digested blood, typically upper GI sources like ulcers or varices.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Haemorrhoids — does not match the characteristic feature/management described in the stem</w:t>
      </w:r>
    </w:p>
    <w:p>
      <w:pPr>
        <w:spacing w:after="200" w:line="276" w:lineRule="auto"/>
      </w:pPr>
      <w:r>
        <w:t>C. The rectum only — does not match the characteristic feature/management described in the stem</w:t>
      </w:r>
    </w:p>
    <w:p>
      <w:pPr>
        <w:spacing w:after="200" w:line="276" w:lineRule="auto"/>
      </w:pPr>
      <w:r>
        <w:t>D. The bladder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Hepatitis B is best prevented by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Vaccination (3-dose schedule)</w:t>
      </w:r>
    </w:p>
    <w:p>
      <w:pPr>
        <w:spacing w:after="200" w:line="276" w:lineRule="auto"/>
      </w:pPr>
      <w:r>
        <w:t>(c) Boiling food</w:t>
      </w:r>
    </w:p>
    <w:p>
      <w:pPr>
        <w:spacing w:after="200" w:line="276" w:lineRule="auto"/>
      </w:pPr>
      <w:r>
        <w:t>(d) Vitamin 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Vaccination (3-dose schedule)</w:t>
      </w:r>
    </w:p>
    <w:p>
      <w:pPr>
        <w:spacing w:after="200" w:line="276" w:lineRule="auto"/>
      </w:pPr>
      <w:r>
        <w:t>🧠 Clinical Rationale: The hepatitis B vaccine is highly effective and is given to all infants and at-risk adults.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a related concept, but it does not match the defining feature asked</w:t>
      </w:r>
    </w:p>
    <w:p>
      <w:pPr>
        <w:spacing w:after="200" w:line="276" w:lineRule="auto"/>
      </w:pPr>
      <w:r>
        <w:t>C. Boiling food — a related concept, but it does not match the defining feature asked</w:t>
      </w:r>
    </w:p>
    <w:p>
      <w:pPr>
        <w:spacing w:after="200" w:line="276" w:lineRule="auto"/>
      </w:pPr>
      <w:r>
        <w:t>D. Vitamin C — a related concept, but it does not match the defining feature asked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abdominal paracentesis, the nurse should ask the patient to</w:t>
      </w:r>
    </w:p>
    <w:p>
      <w:pPr>
        <w:spacing w:after="200" w:line="276" w:lineRule="auto"/>
      </w:pPr>
      <w:r>
        <w:t>(a) Eat a heavy meal</w:t>
      </w:r>
    </w:p>
    <w:p>
      <w:pPr>
        <w:spacing w:after="200" w:line="276" w:lineRule="auto"/>
      </w:pPr>
      <w:r>
        <w:t>(b) Lie prone</w:t>
      </w:r>
    </w:p>
    <w:p>
      <w:pPr>
        <w:spacing w:after="200" w:line="276" w:lineRule="auto"/>
      </w:pPr>
      <w:r>
        <w:t>(c) Drink 2 litres of water</w:t>
      </w:r>
    </w:p>
    <w:p>
      <w:pPr>
        <w:spacing w:after="200" w:line="276" w:lineRule="auto"/>
      </w:pPr>
      <w:r>
        <w:t>(d) Empty the bladder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Empty the bladder</w:t>
      </w:r>
    </w:p>
    <w:p>
      <w:pPr>
        <w:spacing w:after="200" w:line="276" w:lineRule="auto"/>
      </w:pPr>
      <w:r>
        <w:t>🧠 Clinical Rationale: An empty bladder prevents accidental puncture during paracentesis.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Eat a heavy meal — would be appropriate in a different situation, not this one</w:t>
      </w:r>
    </w:p>
    <w:p>
      <w:pPr>
        <w:spacing w:after="200" w:line="276" w:lineRule="auto"/>
      </w:pPr>
      <w:r>
        <w:t>B. Lie prone — would be appropriate in a different situation, not this one</w:t>
      </w:r>
    </w:p>
    <w:p>
      <w:pPr>
        <w:spacing w:after="200" w:line="276" w:lineRule="auto"/>
      </w:pPr>
      <w:r>
        <w:t>C. Drink 2 litres of water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glomerulonephritis following a streptococcal throat infection typically presents with</w:t>
      </w:r>
    </w:p>
    <w:p>
      <w:pPr>
        <w:spacing w:after="200" w:line="276" w:lineRule="auto"/>
      </w:pPr>
      <w:r>
        <w:t>(a) Polyuria and polydipsia</w:t>
      </w:r>
    </w:p>
    <w:p>
      <w:pPr>
        <w:spacing w:after="200" w:line="276" w:lineRule="auto"/>
      </w:pPr>
      <w:r>
        <w:t>(b) Fever with rash</w:t>
      </w:r>
    </w:p>
    <w:p>
      <w:pPr>
        <w:spacing w:after="200" w:line="276" w:lineRule="auto"/>
      </w:pPr>
      <w:r>
        <w:t>(c) Jaundice</w:t>
      </w:r>
    </w:p>
    <w:p>
      <w:pPr>
        <w:spacing w:after="200" w:line="276" w:lineRule="auto"/>
      </w:pPr>
      <w:r>
        <w:t>(d) Haematuria, oedema and hypertension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Haematuria, oedema and hypertension</w:t>
      </w:r>
    </w:p>
    <w:p>
      <w:pPr>
        <w:spacing w:after="200" w:line="276" w:lineRule="auto"/>
      </w:pPr>
      <w:r>
        <w:t>🧠 Clinical Rationale: Post-strep GN: smoky/cola urine, periorbital oedema, hypertension and oliguria 1–2 weeks after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Polyuria and polydipsia — does not match the characteristic feature/management described in the stem</w:t>
      </w:r>
    </w:p>
    <w:p>
      <w:pPr>
        <w:spacing w:after="200" w:line="276" w:lineRule="auto"/>
      </w:pPr>
      <w:r>
        <w:t>B. Fever with rash — does not match the characteristic feature/management described in the stem</w:t>
      </w:r>
    </w:p>
    <w:p>
      <w:pPr>
        <w:spacing w:after="200" w:line="276" w:lineRule="auto"/>
      </w:pPr>
      <w:r>
        <w:t>C. Jaundice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Nursing care of a patient with an AV fistula for dialysis includes</w:t>
      </w:r>
    </w:p>
    <w:p>
      <w:pPr>
        <w:spacing w:after="200" w:line="276" w:lineRule="auto"/>
      </w:pPr>
      <w:r>
        <w:t>(a) Applying tight dressings</w:t>
      </w:r>
    </w:p>
    <w:p>
      <w:pPr>
        <w:spacing w:after="200" w:line="276" w:lineRule="auto"/>
      </w:pPr>
      <w:r>
        <w:t>(b) Using the arm for blood sampling routinely</w:t>
      </w:r>
    </w:p>
    <w:p>
      <w:pPr>
        <w:spacing w:after="200" w:line="276" w:lineRule="auto"/>
      </w:pPr>
      <w:r>
        <w:t>(c) Checking for a thrill/bruit and avoiding BP/venepuncture on that arm</w:t>
      </w:r>
    </w:p>
    <w:p>
      <w:pPr>
        <w:spacing w:after="200" w:line="276" w:lineRule="auto"/>
      </w:pPr>
      <w:r>
        <w:t>(d) Elevating the arm above the heart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Checking for a thrill/bruit and avoiding BP/venepuncture on that arm</w:t>
      </w:r>
    </w:p>
    <w:p>
      <w:pPr>
        <w:spacing w:after="200" w:line="276" w:lineRule="auto"/>
      </w:pPr>
      <w:r>
        <w:t>🧠 Clinical Rationale: The fistula must be protected — no BP cuff, no IVs, no tight clothing — and its thrill checked.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Applying tight dressings — would be appropriate in a different situation, not this one</w:t>
      </w:r>
    </w:p>
    <w:p>
      <w:pPr>
        <w:spacing w:after="200" w:line="276" w:lineRule="auto"/>
      </w:pPr>
      <w:r>
        <w:t>B. Using the arm for blood sampling routinely — would be appropriate in a different situation, not this one</w:t>
      </w:r>
    </w:p>
    <w:p>
      <w:pPr>
        <w:spacing w:after="200" w:line="276" w:lineRule="auto"/>
      </w:pPr>
      <w:r>
        <w:t>D. Elevating the arm above the heart always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