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Oral care for a patient with chemotherapy-induced mucositis includes</w:t>
      </w:r>
    </w:p>
    <w:p>
      <w:pPr>
        <w:spacing w:after="200" w:line="276" w:lineRule="auto"/>
      </w:pPr>
      <w:r>
        <w:t>(a) Aggressive scrubbing</w:t>
      </w:r>
    </w:p>
    <w:p>
      <w:pPr>
        <w:spacing w:after="200" w:line="276" w:lineRule="auto"/>
      </w:pPr>
      <w:r>
        <w:t>(b) Using alcohol mouthwash</w:t>
      </w:r>
    </w:p>
    <w:p>
      <w:pPr>
        <w:spacing w:after="200" w:line="276" w:lineRule="auto"/>
      </w:pPr>
      <w:r>
        <w:t>(c) Avoiding all fluids</w:t>
      </w:r>
    </w:p>
    <w:p>
      <w:pPr>
        <w:spacing w:after="200" w:line="276" w:lineRule="auto"/>
      </w:pPr>
      <w:r>
        <w:t>(d) Gentle rinsing with saline and soft-bristle brushing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Gentle rinsing with saline and soft-bristle brushing</w:t>
      </w:r>
    </w:p>
    <w:p>
      <w:pPr>
        <w:spacing w:after="200" w:line="276" w:lineRule="auto"/>
      </w:pPr>
      <w:r>
        <w:t>🧠 Clinical Rationale: Saline rinses, soft brushes and avoiding irritants limit mucositis and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Aggressive scrubbing — would be appropriate in a different situation, not this one</w:t>
      </w:r>
    </w:p>
    <w:p>
      <w:pPr>
        <w:spacing w:after="200" w:line="276" w:lineRule="auto"/>
      </w:pPr>
      <w:r>
        <w:t>B. Using alcohol mouthwash — would be appropriate in a different situation, not this one</w:t>
      </w:r>
    </w:p>
    <w:p>
      <w:pPr>
        <w:spacing w:after="200" w:line="276" w:lineRule="auto"/>
      </w:pPr>
      <w:r>
        <w:t>C. Avoiding all fluids — would be appropriate in a different situation, not this one</w:t>
      </w:r>
    </w:p>
    <w:p>
      <w:pPr>
        <w:spacing w:after="200" w:line="276" w:lineRule="auto"/>
      </w:pPr>
      <w:r>
        <w:t>⚠️ Exam Trap: Extravasation: stop infusion immediately, notify, and follow the drug-specific protocol — do NOT flush the line or apply heat blindly.</w:t>
      </w:r>
    </w:p>
    <w:p>
      <w:pPr>
        <w:spacing w:after="200" w:line="276" w:lineRule="auto"/>
      </w:pPr>
      <w:r>
        <w:t>💎 PNC Pearl: Chemotherapy safety: if extravasation occurs, STOP the infusion and notify — never flush; neutropenic patients need infection precautions.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Skin over a radiation therapy field should be</w:t>
      </w:r>
    </w:p>
    <w:p>
      <w:pPr>
        <w:spacing w:after="200" w:line="276" w:lineRule="auto"/>
      </w:pPr>
      <w:r>
        <w:t>(a) Rubbed vigorously</w:t>
      </w:r>
    </w:p>
    <w:p>
      <w:pPr>
        <w:spacing w:after="200" w:line="276" w:lineRule="auto"/>
      </w:pPr>
      <w:r>
        <w:t>(b) Kept clean and dry, avoiding creams and tight clothing</w:t>
      </w:r>
    </w:p>
    <w:p>
      <w:pPr>
        <w:spacing w:after="200" w:line="276" w:lineRule="auto"/>
      </w:pPr>
      <w:r>
        <w:t>(c) Exposed to sunlight</w:t>
      </w:r>
    </w:p>
    <w:p>
      <w:pPr>
        <w:spacing w:after="200" w:line="276" w:lineRule="auto"/>
      </w:pPr>
      <w:r>
        <w:t>(d) Covered with adhesive tape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Kept clean and dry, avoiding creams and tight clothing</w:t>
      </w:r>
    </w:p>
    <w:p>
      <w:pPr>
        <w:spacing w:after="200" w:line="276" w:lineRule="auto"/>
      </w:pPr>
      <w:r>
        <w:t>🧠 Clinical Rationale: Radiation skin needs gentle care — mild soap, soft cotton and no irritants.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Rubbed vigorously — would be appropriate in a different situation, not this one</w:t>
      </w:r>
    </w:p>
    <w:p>
      <w:pPr>
        <w:spacing w:after="200" w:line="276" w:lineRule="auto"/>
      </w:pPr>
      <w:r>
        <w:t>C. Exposed to sunlight — would be appropriate in a different situation, not this one</w:t>
      </w:r>
    </w:p>
    <w:p>
      <w:pPr>
        <w:spacing w:after="200" w:line="276" w:lineRule="auto"/>
      </w:pPr>
      <w:r>
        <w:t>D. Covered with adhesive tape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an accurate blood pressure reading, the patient should avoid</w:t>
      </w:r>
    </w:p>
    <w:p>
      <w:pPr>
        <w:spacing w:after="200" w:line="276" w:lineRule="auto"/>
      </w:pPr>
      <w:r>
        <w:t>(a) Smoking, caffeine and exercise for 30 minutes before</w:t>
      </w:r>
    </w:p>
    <w:p>
      <w:pPr>
        <w:spacing w:after="200" w:line="276" w:lineRule="auto"/>
      </w:pPr>
      <w:r>
        <w:t>(b) Sitting quietly</w:t>
      </w:r>
    </w:p>
    <w:p>
      <w:pPr>
        <w:spacing w:after="200" w:line="276" w:lineRule="auto"/>
      </w:pPr>
      <w:r>
        <w:t>(c) Emptying the bladder</w:t>
      </w:r>
    </w:p>
    <w:p>
      <w:pPr>
        <w:spacing w:after="200" w:line="276" w:lineRule="auto"/>
      </w:pPr>
      <w:r>
        <w:t>(d) Removing tight sleeves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Smoking, caffeine and exercise for 30 minutes before</w:t>
      </w:r>
    </w:p>
    <w:p>
      <w:pPr>
        <w:spacing w:after="200" w:line="276" w:lineRule="auto"/>
      </w:pPr>
      <w:r>
        <w:t>🧠 Clinical Rationale: Caffeine, smoking and exertion raise BP transiently; rest and quiet are required before measurement.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Sitting quietly — would be appropriate in a different situation, not this one</w:t>
      </w:r>
    </w:p>
    <w:p>
      <w:pPr>
        <w:spacing w:after="200" w:line="276" w:lineRule="auto"/>
      </w:pPr>
      <w:r>
        <w:t>C. Emptying the bladder — would be appropriate in a different situation, not this one</w:t>
      </w:r>
    </w:p>
    <w:p>
      <w:pPr>
        <w:spacing w:after="200" w:line="276" w:lineRule="auto"/>
      </w:pPr>
      <w:r>
        <w:t>D. Removing tight sleeves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preferred site for temperature measurement in infants is</w:t>
      </w:r>
    </w:p>
    <w:p>
      <w:pPr>
        <w:spacing w:after="200" w:line="276" w:lineRule="auto"/>
      </w:pPr>
      <w:r>
        <w:t>(a) Axillary</w:t>
      </w:r>
    </w:p>
    <w:p>
      <w:pPr>
        <w:spacing w:after="200" w:line="276" w:lineRule="auto"/>
      </w:pPr>
      <w:r>
        <w:t>(b) Oral</w:t>
      </w:r>
    </w:p>
    <w:p>
      <w:pPr>
        <w:spacing w:after="200" w:line="276" w:lineRule="auto"/>
      </w:pPr>
      <w:r>
        <w:t>(c) Rectal only</w:t>
      </w:r>
    </w:p>
    <w:p>
      <w:pPr>
        <w:spacing w:after="200" w:line="276" w:lineRule="auto"/>
      </w:pPr>
      <w:r>
        <w:t>(d) Ear always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Axillary</w:t>
      </w:r>
    </w:p>
    <w:p>
      <w:pPr>
        <w:spacing w:after="200" w:line="276" w:lineRule="auto"/>
      </w:pPr>
      <w:r>
        <w:t>🧠 Clinical Rationale: Axillary temperature is safe and non-invasive in infants; rectal risks injury.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Oral — would be appropriate in a different situation, not this one</w:t>
      </w:r>
    </w:p>
    <w:p>
      <w:pPr>
        <w:spacing w:after="200" w:line="276" w:lineRule="auto"/>
      </w:pPr>
      <w:r>
        <w:t>C. Rectal only — would be appropriate in a different situation, not this one</w:t>
      </w:r>
    </w:p>
    <w:p>
      <w:pPr>
        <w:spacing w:after="200" w:line="276" w:lineRule="auto"/>
      </w:pPr>
      <w:r>
        <w:t>D. Ear always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apical pulse should be assessed in</w:t>
      </w:r>
    </w:p>
    <w:p>
      <w:pPr>
        <w:spacing w:after="200" w:line="276" w:lineRule="auto"/>
      </w:pPr>
      <w:r>
        <w:t>(a) Only unconscious patients</w:t>
      </w:r>
    </w:p>
    <w:p>
      <w:pPr>
        <w:spacing w:after="200" w:line="276" w:lineRule="auto"/>
      </w:pPr>
      <w:r>
        <w:t>(b) Athletes only</w:t>
      </w:r>
    </w:p>
    <w:p>
      <w:pPr>
        <w:spacing w:after="200" w:line="276" w:lineRule="auto"/>
      </w:pPr>
      <w:r>
        <w:t>(c) Never</w:t>
      </w:r>
    </w:p>
    <w:p>
      <w:pPr>
        <w:spacing w:after="200" w:line="276" w:lineRule="auto"/>
      </w:pPr>
      <w:r>
        <w:t>(d) Infants and children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Infants and children</w:t>
      </w:r>
    </w:p>
    <w:p>
      <w:pPr>
        <w:spacing w:after="200" w:line="276" w:lineRule="auto"/>
      </w:pPr>
      <w:r>
        <w:t>🧠 Clinical Rationale: Apical auscultation is preferred in infants/children and in patients on digoxin or with irregular rhythms.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unconscious patients — would be appropriate in a different situation, not this one</w:t>
      </w:r>
    </w:p>
    <w:p>
      <w:pPr>
        <w:spacing w:after="200" w:line="276" w:lineRule="auto"/>
      </w:pPr>
      <w:r>
        <w:t>B. Athletes only — would be appropriate in a different situation, not this one</w:t>
      </w:r>
    </w:p>
    <w:p>
      <w:pPr>
        <w:spacing w:after="200" w:line="276" w:lineRule="auto"/>
      </w:pPr>
      <w:r>
        <w:t>C. Never — would be appropriate in a different situation, not this one</w:t>
      </w:r>
    </w:p>
    <w:p>
      <w:pPr>
        <w:spacing w:after="200" w:line="276" w:lineRule="auto"/>
      </w:pPr>
      <w:r>
        <w:t>⚠️ Exam Trap: Digoxin toxicity is often tested with the triad: nausea/vomiting + yellow-green visual halos + bradycardia/arrhythmia.</w:t>
      </w:r>
    </w:p>
    <w:p>
      <w:pPr>
        <w:spacing w:after="200" w:line="276" w:lineRule="auto"/>
      </w:pPr>
      <w:r>
        <w:t>💎 PNC Pearl: Check the apical pulse for one full minute before giving digoxin — hold it if below 60 bpm in an adult.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normal respiratory rate of a newborn is</w:t>
      </w:r>
    </w:p>
    <w:p>
      <w:pPr>
        <w:spacing w:after="200" w:line="276" w:lineRule="auto"/>
      </w:pPr>
      <w:r>
        <w:t>(a) 12–20 breaths per minute</w:t>
      </w:r>
    </w:p>
    <w:p>
      <w:pPr>
        <w:spacing w:after="200" w:line="276" w:lineRule="auto"/>
      </w:pPr>
      <w:r>
        <w:t>(b) 60–100 breaths per minute</w:t>
      </w:r>
    </w:p>
    <w:p>
      <w:pPr>
        <w:spacing w:after="200" w:line="276" w:lineRule="auto"/>
      </w:pPr>
      <w:r>
        <w:t>(c) 10–15 breaths per minute</w:t>
      </w:r>
    </w:p>
    <w:p>
      <w:pPr>
        <w:spacing w:after="200" w:line="276" w:lineRule="auto"/>
      </w:pPr>
      <w:r>
        <w:t>(d) 30–60 breaths per minute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30–60 breaths per minute</w:t>
      </w:r>
    </w:p>
    <w:p>
      <w:pPr>
        <w:spacing w:after="200" w:line="276" w:lineRule="auto"/>
      </w:pPr>
      <w:r>
        <w:t>🧠 Clinical Rationale: Newborns breathe 30–60 times per minute — faster than older children and adults.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12–20 breaths per minute — plausible, but not the single most accurate fact asked</w:t>
      </w:r>
    </w:p>
    <w:p>
      <w:pPr>
        <w:spacing w:after="200" w:line="276" w:lineRule="auto"/>
      </w:pPr>
      <w:r>
        <w:t>B. 60–100 breaths per minute — plausible, but not the single most accurate fact asked</w:t>
      </w:r>
    </w:p>
    <w:p>
      <w:pPr>
        <w:spacing w:after="200" w:line="276" w:lineRule="auto"/>
      </w:pPr>
      <w:r>
        <w:t>C. 10–15 breaths per minute — plausible, but not the single most accurate fact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nasogastric tube feeding, the patient should be positioned</w:t>
      </w:r>
    </w:p>
    <w:p>
      <w:pPr>
        <w:spacing w:after="200" w:line="276" w:lineRule="auto"/>
      </w:pPr>
      <w:r>
        <w:t>(a) Flat on the back</w:t>
      </w:r>
    </w:p>
    <w:p>
      <w:pPr>
        <w:spacing w:after="200" w:line="276" w:lineRule="auto"/>
      </w:pPr>
      <w:r>
        <w:t>(b) In the prone position</w:t>
      </w:r>
    </w:p>
    <w:p>
      <w:pPr>
        <w:spacing w:after="200" w:line="276" w:lineRule="auto"/>
      </w:pPr>
      <w:r>
        <w:t>(c) With the head of the bed elevated 30–45°</w:t>
      </w:r>
    </w:p>
    <w:p>
      <w:pPr>
        <w:spacing w:after="200" w:line="276" w:lineRule="auto"/>
      </w:pPr>
      <w:r>
        <w:t>(d) Head down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With the head of the bed elevated 30–45°</w:t>
      </w:r>
    </w:p>
    <w:p>
      <w:pPr>
        <w:spacing w:after="200" w:line="276" w:lineRule="auto"/>
      </w:pPr>
      <w:r>
        <w:t>🧠 Clinical Rationale: Elevating the head prevents reflux and aspiration during tube feeding.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Flat on the back — would be appropriate in a different situation, not this one</w:t>
      </w:r>
    </w:p>
    <w:p>
      <w:pPr>
        <w:spacing w:after="200" w:line="276" w:lineRule="auto"/>
      </w:pPr>
      <w:r>
        <w:t>B. In the prone position — would be appropriate in a different situation, not this one</w:t>
      </w:r>
    </w:p>
    <w:p>
      <w:pPr>
        <w:spacing w:after="200" w:line="276" w:lineRule="auto"/>
      </w:pPr>
      <w:r>
        <w:t>D. Head down — would be appropriate in a different situation, not this one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healthy colostomy stoma is</w:t>
      </w:r>
    </w:p>
    <w:p>
      <w:pPr>
        <w:spacing w:after="200" w:line="276" w:lineRule="auto"/>
      </w:pPr>
      <w:r>
        <w:t>(a) Pale and dry</w:t>
      </w:r>
    </w:p>
    <w:p>
      <w:pPr>
        <w:spacing w:after="200" w:line="276" w:lineRule="auto"/>
      </w:pPr>
      <w:r>
        <w:t>(b) Blue-black</w:t>
      </w:r>
    </w:p>
    <w:p>
      <w:pPr>
        <w:spacing w:after="200" w:line="276" w:lineRule="auto"/>
      </w:pPr>
      <w:r>
        <w:t>(c) White and swollen</w:t>
      </w:r>
    </w:p>
    <w:p>
      <w:pPr>
        <w:spacing w:after="200" w:line="276" w:lineRule="auto"/>
      </w:pPr>
      <w:r>
        <w:t>(d) Moist and red-pink in colour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Moist and red-pink in colour</w:t>
      </w:r>
    </w:p>
    <w:p>
      <w:pPr>
        <w:spacing w:after="200" w:line="276" w:lineRule="auto"/>
      </w:pPr>
      <w:r>
        <w:t>🧠 Clinical Rationale: A pink-red moist stoma indicates good blood supply; dusky/black stomas signal ischaemia.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Pale and dry — does not match the characteristic feature/management described in the stem</w:t>
      </w:r>
    </w:p>
    <w:p>
      <w:pPr>
        <w:spacing w:after="200" w:line="276" w:lineRule="auto"/>
      </w:pPr>
      <w:r>
        <w:t>B. Blue-black — does not match the characteristic feature/management described in the stem</w:t>
      </w:r>
    </w:p>
    <w:p>
      <w:pPr>
        <w:spacing w:after="200" w:line="276" w:lineRule="auto"/>
      </w:pPr>
      <w:r>
        <w:t>C. White and swollen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urinary drainage bag should be emptied</w:t>
      </w:r>
    </w:p>
    <w:p>
      <w:pPr>
        <w:spacing w:after="200" w:line="276" w:lineRule="auto"/>
      </w:pPr>
      <w:r>
        <w:t>(a) At least every 8 hours or when three-fourths full</w:t>
      </w:r>
    </w:p>
    <w:p>
      <w:pPr>
        <w:spacing w:after="200" w:line="276" w:lineRule="auto"/>
      </w:pPr>
      <w:r>
        <w:t>(b) Only once a week</w:t>
      </w:r>
    </w:p>
    <w:p>
      <w:pPr>
        <w:spacing w:after="200" w:line="276" w:lineRule="auto"/>
      </w:pPr>
      <w:r>
        <w:t>(c) When completely overflowing</w:t>
      </w:r>
    </w:p>
    <w:p>
      <w:pPr>
        <w:spacing w:after="200" w:line="276" w:lineRule="auto"/>
      </w:pPr>
      <w:r>
        <w:t>(d) Never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At least every 8 hours or when three-fourths full</w:t>
      </w:r>
    </w:p>
    <w:p>
      <w:pPr>
        <w:spacing w:after="200" w:line="276" w:lineRule="auto"/>
      </w:pPr>
      <w:r>
        <w:t>🧠 Clinical Rationale: Regular emptying prevents backflow and bacterial growth.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once a week — would be appropriate in a different situation, not this one</w:t>
      </w:r>
    </w:p>
    <w:p>
      <w:pPr>
        <w:spacing w:after="200" w:line="276" w:lineRule="auto"/>
      </w:pPr>
      <w:r>
        <w:t>C. When completely overflowing — would be appropriate in a different situation, not this one</w:t>
      </w:r>
    </w:p>
    <w:p>
      <w:pPr>
        <w:spacing w:after="200" w:line="276" w:lineRule="auto"/>
      </w:pPr>
      <w:r>
        <w:t>D. Never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hospital fire, the RACE acronym directs staff to</w:t>
      </w:r>
    </w:p>
    <w:p>
      <w:pPr>
        <w:spacing w:after="200" w:line="276" w:lineRule="auto"/>
      </w:pPr>
      <w:r>
        <w:t>(a) Run, Alert, Call, Escape</w:t>
      </w:r>
    </w:p>
    <w:p>
      <w:pPr>
        <w:spacing w:after="200" w:line="276" w:lineRule="auto"/>
      </w:pPr>
      <w:r>
        <w:t>(b) Remove, Avoid, Clear, Exit</w:t>
      </w:r>
    </w:p>
    <w:p>
      <w:pPr>
        <w:spacing w:after="200" w:line="276" w:lineRule="auto"/>
      </w:pPr>
      <w:r>
        <w:t>(c) Rescue, Alarm, Contain, Extinguish/Evacuate</w:t>
      </w:r>
    </w:p>
    <w:p>
      <w:pPr>
        <w:spacing w:after="200" w:line="276" w:lineRule="auto"/>
      </w:pPr>
      <w:r>
        <w:t>(d) Report, Ask, Confirm, Evaluate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Rescue, Alarm, Contain, Extinguish/Evacuate</w:t>
      </w:r>
    </w:p>
    <w:p>
      <w:pPr>
        <w:spacing w:after="200" w:line="276" w:lineRule="auto"/>
      </w:pPr>
      <w:r>
        <w:t>🧠 Clinical Rationale: RACE: Rescue those in danger, Alarm, Contain the fire, Extinguish (or Evacuate).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Fire Safety - RACE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Rescue, Alarm, Contain, Extinguish/Evacuate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Run, Alert, Call, Escape — does not address the immediate life-threatening problem (ABC comes first)</w:t>
      </w:r>
    </w:p>
    <w:p>
      <w:pPr>
        <w:spacing w:after="200" w:line="276" w:lineRule="auto"/>
      </w:pPr>
      <w:r>
        <w:t>B. Remove, Avoid, Clear, Exit — does not address the immediate life-threatening problem (ABC comes first)</w:t>
      </w:r>
    </w:p>
    <w:p>
      <w:pPr>
        <w:spacing w:after="200" w:line="276" w:lineRule="auto"/>
      </w:pPr>
      <w:r>
        <w:t>D. Report, Ask, Confirm, Evaluate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India's immunization schedule, the first dose of OPV and IPV is given at</w:t>
      </w:r>
    </w:p>
    <w:p>
      <w:pPr>
        <w:spacing w:after="200" w:line="276" w:lineRule="auto"/>
      </w:pPr>
      <w:r>
        <w:t>(a) Birth only (OPV birth dose)</w:t>
      </w:r>
    </w:p>
    <w:p>
      <w:pPr>
        <w:spacing w:after="200" w:line="276" w:lineRule="auto"/>
      </w:pPr>
      <w:r>
        <w:t>(b) 6 weeks</w:t>
      </w:r>
    </w:p>
    <w:p>
      <w:pPr>
        <w:spacing w:after="200" w:line="276" w:lineRule="auto"/>
      </w:pPr>
      <w:r>
        <w:t>(c) 9 months</w:t>
      </w:r>
    </w:p>
    <w:p>
      <w:pPr>
        <w:spacing w:after="200" w:line="276" w:lineRule="auto"/>
      </w:pPr>
      <w:r>
        <w:t>(d) 16–24 months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6 weeks</w:t>
      </w:r>
    </w:p>
    <w:p>
      <w:pPr>
        <w:spacing w:after="200" w:line="276" w:lineRule="auto"/>
      </w:pPr>
      <w:r>
        <w:t>🧠 Clinical Rationale: OPV birth dose is at birth; OPV/IPV first doses are at 6 weeks, then 10 and 14 weeks.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Birth only (OPV birth dose) — plausible, but not the single most accurate fact asked</w:t>
      </w:r>
    </w:p>
    <w:p>
      <w:pPr>
        <w:spacing w:after="200" w:line="276" w:lineRule="auto"/>
      </w:pPr>
      <w:r>
        <w:t>C. 9 months — plausible, but not the single most accurate fact asked</w:t>
      </w:r>
    </w:p>
    <w:p>
      <w:pPr>
        <w:spacing w:after="200" w:line="276" w:lineRule="auto"/>
      </w:pPr>
      <w:r>
        <w:t>D. 16–24 months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healthy infant approximately doubles the birth weight by</w:t>
      </w:r>
    </w:p>
    <w:p>
      <w:pPr>
        <w:spacing w:after="200" w:line="276" w:lineRule="auto"/>
      </w:pPr>
      <w:r>
        <w:t>(a) 1 month</w:t>
      </w:r>
    </w:p>
    <w:p>
      <w:pPr>
        <w:spacing w:after="200" w:line="276" w:lineRule="auto"/>
      </w:pPr>
      <w:r>
        <w:t>(b) 12 months</w:t>
      </w:r>
    </w:p>
    <w:p>
      <w:pPr>
        <w:spacing w:after="200" w:line="276" w:lineRule="auto"/>
      </w:pPr>
      <w:r>
        <w:t>(c) 2 years</w:t>
      </w:r>
    </w:p>
    <w:p>
      <w:pPr>
        <w:spacing w:after="200" w:line="276" w:lineRule="auto"/>
      </w:pPr>
      <w:r>
        <w:t>(d) 5–6 months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5–6 months</w:t>
      </w:r>
    </w:p>
    <w:p>
      <w:pPr>
        <w:spacing w:after="200" w:line="276" w:lineRule="auto"/>
      </w:pPr>
      <w:r>
        <w:t>🧠 Clinical Rationale: Birth weight doubles by about 5–6 months and triples by 1 year.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month — plausible, but not the single most accurate fact asked</w:t>
      </w:r>
    </w:p>
    <w:p>
      <w:pPr>
        <w:spacing w:after="200" w:line="276" w:lineRule="auto"/>
      </w:pPr>
      <w:r>
        <w:t>B. 12 months — plausible, but not the single most accurate fact asked</w:t>
      </w:r>
    </w:p>
    <w:p>
      <w:pPr>
        <w:spacing w:after="200" w:line="276" w:lineRule="auto"/>
      </w:pPr>
      <w:r>
        <w:t>C. 2 years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Most children walk independently by</w:t>
      </w:r>
    </w:p>
    <w:p>
      <w:pPr>
        <w:spacing w:after="200" w:line="276" w:lineRule="auto"/>
      </w:pPr>
      <w:r>
        <w:t>(a) 12–15 months</w:t>
      </w:r>
    </w:p>
    <w:p>
      <w:pPr>
        <w:spacing w:after="200" w:line="276" w:lineRule="auto"/>
      </w:pPr>
      <w:r>
        <w:t>(b) 6 months</w:t>
      </w:r>
    </w:p>
    <w:p>
      <w:pPr>
        <w:spacing w:after="200" w:line="276" w:lineRule="auto"/>
      </w:pPr>
      <w:r>
        <w:t>(c) 24 months</w:t>
      </w:r>
    </w:p>
    <w:p>
      <w:pPr>
        <w:spacing w:after="200" w:line="276" w:lineRule="auto"/>
      </w:pPr>
      <w:r>
        <w:t>(d) 4 years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12–15 months</w:t>
      </w:r>
    </w:p>
    <w:p>
      <w:pPr>
        <w:spacing w:after="200" w:line="276" w:lineRule="auto"/>
      </w:pPr>
      <w:r>
        <w:t>🧠 Clinical Rationale: Independent walking is usually achieved between 12 and 15 months.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6 months — plausible, but not the single most accurate fact asked</w:t>
      </w:r>
    </w:p>
    <w:p>
      <w:pPr>
        <w:spacing w:after="200" w:line="276" w:lineRule="auto"/>
      </w:pPr>
      <w:r>
        <w:t>C. 24 months — plausible, but not the single most accurate fact asked</w:t>
      </w:r>
    </w:p>
    <w:p>
      <w:pPr>
        <w:spacing w:after="200" w:line="276" w:lineRule="auto"/>
      </w:pPr>
      <w:r>
        <w:t>D. 4 years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typically speaks the first meaningful word by</w:t>
      </w:r>
    </w:p>
    <w:p>
      <w:pPr>
        <w:spacing w:after="200" w:line="276" w:lineRule="auto"/>
      </w:pPr>
      <w:r>
        <w:t>(a) 3 months</w:t>
      </w:r>
    </w:p>
    <w:p>
      <w:pPr>
        <w:spacing w:after="200" w:line="276" w:lineRule="auto"/>
      </w:pPr>
      <w:r>
        <w:t>(b) 12 months</w:t>
      </w:r>
    </w:p>
    <w:p>
      <w:pPr>
        <w:spacing w:after="200" w:line="276" w:lineRule="auto"/>
      </w:pPr>
      <w:r>
        <w:t>(c) 6 months</w:t>
      </w:r>
    </w:p>
    <w:p>
      <w:pPr>
        <w:spacing w:after="200" w:line="276" w:lineRule="auto"/>
      </w:pPr>
      <w:r>
        <w:t>(d) 2 years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12 months</w:t>
      </w:r>
    </w:p>
    <w:p>
      <w:pPr>
        <w:spacing w:after="200" w:line="276" w:lineRule="auto"/>
      </w:pPr>
      <w:r>
        <w:t>🧠 Clinical Rationale: First words appear around 12 months, with babbling from 6 months.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 months — plausible, but not the single most accurate fact asked</w:t>
      </w:r>
    </w:p>
    <w:p>
      <w:pPr>
        <w:spacing w:after="200" w:line="276" w:lineRule="auto"/>
      </w:pPr>
      <w:r>
        <w:t>C. 6 months — plausible, but not the single most accurate fact asked</w:t>
      </w:r>
    </w:p>
    <w:p>
      <w:pPr>
        <w:spacing w:after="200" w:line="276" w:lineRule="auto"/>
      </w:pPr>
      <w:r>
        <w:t>D. 2 years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IMNCI, a child classified as 'PINK' requires</w:t>
      </w:r>
    </w:p>
    <w:p>
      <w:pPr>
        <w:spacing w:after="200" w:line="276" w:lineRule="auto"/>
      </w:pPr>
      <w:r>
        <w:t>(a) Home management</w:t>
      </w:r>
    </w:p>
    <w:p>
      <w:pPr>
        <w:spacing w:after="200" w:line="276" w:lineRule="auto"/>
      </w:pPr>
      <w:r>
        <w:t>(b) No treatment</w:t>
      </w:r>
    </w:p>
    <w:p>
      <w:pPr>
        <w:spacing w:after="200" w:line="276" w:lineRule="auto"/>
      </w:pPr>
      <w:r>
        <w:t>(c) Urgent referral/hospital treatment</w:t>
      </w:r>
    </w:p>
    <w:p>
      <w:pPr>
        <w:spacing w:after="200" w:line="276" w:lineRule="auto"/>
      </w:pPr>
      <w:r>
        <w:t>(d) Only nutrition advice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Urgent referral/hospital treatment</w:t>
      </w:r>
    </w:p>
    <w:p>
      <w:pPr>
        <w:spacing w:after="200" w:line="276" w:lineRule="auto"/>
      </w:pPr>
      <w:r>
        <w:t>🧠 Clinical Rationale: Pink classification signals severe disease needing urgent referral; yellow needs specific treatment; green is home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Home management — a related concept, but it does not match the defining feature asked</w:t>
      </w:r>
    </w:p>
    <w:p>
      <w:pPr>
        <w:spacing w:after="200" w:line="276" w:lineRule="auto"/>
      </w:pPr>
      <w:r>
        <w:t>B. No treatment — a related concept, but it does not match the defining feature asked</w:t>
      </w:r>
    </w:p>
    <w:p>
      <w:pPr>
        <w:spacing w:after="200" w:line="276" w:lineRule="auto"/>
      </w:pPr>
      <w:r>
        <w:t>D. Only nutrition advice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sign indicates severe dehydration needing IV fluids in a child with diarrhoea?</w:t>
      </w:r>
    </w:p>
    <w:p>
      <w:pPr>
        <w:spacing w:after="200" w:line="276" w:lineRule="auto"/>
      </w:pPr>
      <w:r>
        <w:t>(a) Mild thirst</w:t>
      </w:r>
    </w:p>
    <w:p>
      <w:pPr>
        <w:spacing w:after="200" w:line="276" w:lineRule="auto"/>
      </w:pPr>
      <w:r>
        <w:t>(b) Normal skin turgor</w:t>
      </w:r>
    </w:p>
    <w:p>
      <w:pPr>
        <w:spacing w:after="200" w:line="276" w:lineRule="auto"/>
      </w:pPr>
      <w:r>
        <w:t>(c) Lethargy/unconsciousness or inability to drink</w:t>
      </w:r>
    </w:p>
    <w:p>
      <w:pPr>
        <w:spacing w:after="200" w:line="276" w:lineRule="auto"/>
      </w:pPr>
      <w:r>
        <w:t>(d) Moist mouth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Lethargy/unconsciousness or inability to drink</w:t>
      </w:r>
    </w:p>
    <w:p>
      <w:pPr>
        <w:spacing w:after="200" w:line="276" w:lineRule="auto"/>
      </w:pPr>
      <w:r>
        <w:t>🧠 Clinical Rationale: Lethargy, sunken eyes, reduced skin turgor and inability to drink indicate severe dehydration.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Dehydration — fluid deficit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Diarrhoea - Danger Signs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Lethargy/unconsciousness or inability to drink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thirst — does not address the immediate life-threatening problem (ABC comes first)</w:t>
      </w:r>
    </w:p>
    <w:p>
      <w:pPr>
        <w:spacing w:after="200" w:line="276" w:lineRule="auto"/>
      </w:pPr>
      <w:r>
        <w:t>B. Normal skin turgor — does not address the immediate life-threatening problem (ABC comes first)</w:t>
      </w:r>
    </w:p>
    <w:p>
      <w:pPr>
        <w:spacing w:after="200" w:line="276" w:lineRule="auto"/>
      </w:pPr>
      <w:r>
        <w:t>D. Moist mouth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crude birth rate is expressed as the number of live births per</w:t>
      </w:r>
    </w:p>
    <w:p>
      <w:pPr>
        <w:spacing w:after="200" w:line="276" w:lineRule="auto"/>
      </w:pPr>
      <w:r>
        <w:t>(a) 1000 population per year</w:t>
      </w:r>
    </w:p>
    <w:p>
      <w:pPr>
        <w:spacing w:after="200" w:line="276" w:lineRule="auto"/>
      </w:pPr>
      <w:r>
        <w:t>(b) 1000 live births</w:t>
      </w:r>
    </w:p>
    <w:p>
      <w:pPr>
        <w:spacing w:after="200" w:line="276" w:lineRule="auto"/>
      </w:pPr>
      <w:r>
        <w:t>(c) 1000 women</w:t>
      </w:r>
    </w:p>
    <w:p>
      <w:pPr>
        <w:spacing w:after="200" w:line="276" w:lineRule="auto"/>
      </w:pPr>
      <w:r>
        <w:t>(d) 1000 households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1000 population per year</w:t>
      </w:r>
    </w:p>
    <w:p>
      <w:pPr>
        <w:spacing w:after="200" w:line="276" w:lineRule="auto"/>
      </w:pPr>
      <w:r>
        <w:t>🧠 Clinical Rationale: CBR = live births per 1000 mid-year population per year.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1000 live births — a related concept, but it does not match the defining feature asked</w:t>
      </w:r>
    </w:p>
    <w:p>
      <w:pPr>
        <w:spacing w:after="200" w:line="276" w:lineRule="auto"/>
      </w:pPr>
      <w:r>
        <w:t>C. 1000 women — a related concept, but it does not match the defining feature asked</w:t>
      </w:r>
    </w:p>
    <w:p>
      <w:pPr>
        <w:spacing w:after="200" w:line="276" w:lineRule="auto"/>
      </w:pPr>
      <w:r>
        <w:t>D. 1000 households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Maternal Mortality Ratio (MMR) is the number of maternal deaths per</w:t>
      </w:r>
    </w:p>
    <w:p>
      <w:pPr>
        <w:spacing w:after="200" w:line="276" w:lineRule="auto"/>
      </w:pPr>
      <w:r>
        <w:t>(a) 1000 live births</w:t>
      </w:r>
    </w:p>
    <w:p>
      <w:pPr>
        <w:spacing w:after="200" w:line="276" w:lineRule="auto"/>
      </w:pPr>
      <w:r>
        <w:t>(b) 100,000 live births</w:t>
      </w:r>
    </w:p>
    <w:p>
      <w:pPr>
        <w:spacing w:after="200" w:line="276" w:lineRule="auto"/>
      </w:pPr>
      <w:r>
        <w:t>(c) 10,000 live births</w:t>
      </w:r>
    </w:p>
    <w:p>
      <w:pPr>
        <w:spacing w:after="200" w:line="276" w:lineRule="auto"/>
      </w:pPr>
      <w:r>
        <w:t>(d) 1,000,000 population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100,000 live births</w:t>
      </w:r>
    </w:p>
    <w:p>
      <w:pPr>
        <w:spacing w:after="200" w:line="276" w:lineRule="auto"/>
      </w:pPr>
      <w:r>
        <w:t>🧠 Clinical Rationale: MMR is expressed per 100,000 live births.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1000 live births — a related concept, but it does not match the defining feature asked</w:t>
      </w:r>
    </w:p>
    <w:p>
      <w:pPr>
        <w:spacing w:after="200" w:line="276" w:lineRule="auto"/>
      </w:pPr>
      <w:r>
        <w:t>C. 10,000 live births — a related concept, but it does not match the defining feature asked</w:t>
      </w:r>
    </w:p>
    <w:p>
      <w:pPr>
        <w:spacing w:after="200" w:line="276" w:lineRule="auto"/>
      </w:pPr>
      <w:r>
        <w:t>D. 1,000,000 population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Total Fertility Rate is</w:t>
      </w:r>
    </w:p>
    <w:p>
      <w:pPr>
        <w:spacing w:after="200" w:line="276" w:lineRule="auto"/>
      </w:pPr>
      <w:r>
        <w:t>(a) The birth rate of a country</w:t>
      </w:r>
    </w:p>
    <w:p>
      <w:pPr>
        <w:spacing w:after="200" w:line="276" w:lineRule="auto"/>
      </w:pPr>
      <w:r>
        <w:t>(b) The average number of children a woman would have in her lifetime</w:t>
      </w:r>
    </w:p>
    <w:p>
      <w:pPr>
        <w:spacing w:after="200" w:line="276" w:lineRule="auto"/>
      </w:pPr>
      <w:r>
        <w:t>(c) The number of twins born</w:t>
      </w:r>
    </w:p>
    <w:p>
      <w:pPr>
        <w:spacing w:after="200" w:line="276" w:lineRule="auto"/>
      </w:pPr>
      <w:r>
        <w:t>(d) The population growth rate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average number of children a woman would have in her lifetime</w:t>
      </w:r>
    </w:p>
    <w:p>
      <w:pPr>
        <w:spacing w:after="200" w:line="276" w:lineRule="auto"/>
      </w:pPr>
      <w:r>
        <w:t>🧠 Clinical Rationale: TFR estimates lifetime births per woman at current age-specific rates.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birth rate of a country — a related concept, but it does not match the defining feature asked</w:t>
      </w:r>
    </w:p>
    <w:p>
      <w:pPr>
        <w:spacing w:after="200" w:line="276" w:lineRule="auto"/>
      </w:pPr>
      <w:r>
        <w:t>C. The number of twins born — a related concept, but it does not match the defining feature asked</w:t>
      </w:r>
    </w:p>
    <w:p>
      <w:pPr>
        <w:spacing w:after="200" w:line="276" w:lineRule="auto"/>
      </w:pPr>
      <w:r>
        <w:t>D. The population growth rate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Screening for a disease means</w:t>
      </w:r>
    </w:p>
    <w:p>
      <w:pPr>
        <w:spacing w:after="200" w:line="276" w:lineRule="auto"/>
      </w:pPr>
      <w:r>
        <w:t>(a) Treating confirmed cases</w:t>
      </w:r>
    </w:p>
    <w:p>
      <w:pPr>
        <w:spacing w:after="200" w:line="276" w:lineRule="auto"/>
      </w:pPr>
      <w:r>
        <w:t>(b) Vaccinating the population</w:t>
      </w:r>
    </w:p>
    <w:p>
      <w:pPr>
        <w:spacing w:after="200" w:line="276" w:lineRule="auto"/>
      </w:pPr>
      <w:r>
        <w:t>(c) Testing apparently healthy people to detect early disease</w:t>
      </w:r>
    </w:p>
    <w:p>
      <w:pPr>
        <w:spacing w:after="200" w:line="276" w:lineRule="auto"/>
      </w:pPr>
      <w:r>
        <w:t>(d) Quarantining patients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Testing apparently healthy people to detect early disease</w:t>
      </w:r>
    </w:p>
    <w:p>
      <w:pPr>
        <w:spacing w:after="200" w:line="276" w:lineRule="auto"/>
      </w:pPr>
      <w:r>
        <w:t>🧠 Clinical Rationale: Screening identifies disease early in asymptomatic individuals for timely intervention.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Treating confirmed cases — a related concept, but it does not match the defining feature asked</w:t>
      </w:r>
    </w:p>
    <w:p>
      <w:pPr>
        <w:spacing w:after="200" w:line="276" w:lineRule="auto"/>
      </w:pPr>
      <w:r>
        <w:t>B. Vaccinating the population — a related concept, but it does not match the defining feature asked</w:t>
      </w:r>
    </w:p>
    <w:p>
      <w:pPr>
        <w:spacing w:after="200" w:line="276" w:lineRule="auto"/>
      </w:pPr>
      <w:r>
        <w:t>D. Quarantining patients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