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DPT booster dose in the UIP schedule is given at</w:t>
      </w:r>
    </w:p>
    <w:p>
      <w:pPr>
        <w:spacing w:after="200" w:line="276" w:lineRule="auto"/>
      </w:pPr>
      <w:r>
        <w:t>(a) 6 weeks</w:t>
      </w:r>
    </w:p>
    <w:p>
      <w:pPr>
        <w:spacing w:after="200" w:line="276" w:lineRule="auto"/>
      </w:pPr>
      <w:r>
        <w:t>(b) 9 months</w:t>
      </w:r>
    </w:p>
    <w:p>
      <w:pPr>
        <w:spacing w:after="200" w:line="276" w:lineRule="auto"/>
      </w:pPr>
      <w:r>
        <w:t>(c) 5 years only</w:t>
      </w:r>
    </w:p>
    <w:p>
      <w:pPr>
        <w:spacing w:after="200" w:line="276" w:lineRule="auto"/>
      </w:pPr>
      <w:r>
        <w:t>(d) 16–24 months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16–24 months</w:t>
      </w:r>
    </w:p>
    <w:p>
      <w:pPr>
        <w:spacing w:after="200" w:line="276" w:lineRule="auto"/>
      </w:pPr>
      <w:r>
        <w:t>🧠 Clinical Rationale: A DPT booster is given at 16–24 months (with OPV booster); another at 5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weeks — plausible, but not the single most accurate fact asked</w:t>
      </w:r>
    </w:p>
    <w:p>
      <w:pPr>
        <w:spacing w:after="200" w:line="276" w:lineRule="auto"/>
      </w:pPr>
      <w:r>
        <w:t>B. 9 months — plausible, but not the single most accurate fact asked</w:t>
      </w:r>
    </w:p>
    <w:p>
      <w:pPr>
        <w:spacing w:after="200" w:line="276" w:lineRule="auto"/>
      </w:pPr>
      <w:r>
        <w:t>C. 5 years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Under UIP, the first mega-dose of vitamin A is given at</w:t>
      </w:r>
    </w:p>
    <w:p>
      <w:pPr>
        <w:spacing w:after="200" w:line="276" w:lineRule="auto"/>
      </w:pPr>
      <w:r>
        <w:t>(a) Birth</w:t>
      </w:r>
    </w:p>
    <w:p>
      <w:pPr>
        <w:spacing w:after="200" w:line="276" w:lineRule="auto"/>
      </w:pPr>
      <w:r>
        <w:t>(b) 9 months</w:t>
      </w:r>
    </w:p>
    <w:p>
      <w:pPr>
        <w:spacing w:after="200" w:line="276" w:lineRule="auto"/>
      </w:pPr>
      <w:r>
        <w:t>(c) 6 weeks</w:t>
      </w:r>
    </w:p>
    <w:p>
      <w:pPr>
        <w:spacing w:after="200" w:line="276" w:lineRule="auto"/>
      </w:pPr>
      <w:r>
        <w:t>(d) 5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9 months</w:t>
      </w:r>
    </w:p>
    <w:p>
      <w:pPr>
        <w:spacing w:after="200" w:line="276" w:lineRule="auto"/>
      </w:pPr>
      <w:r>
        <w:t>🧠 Clinical Rationale: Vitamin A (1 lakh IU) begins at 9 months and is repeated every 6 months up to 5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Birth — plausible, but not the single most accurate fact asked</w:t>
      </w:r>
    </w:p>
    <w:p>
      <w:pPr>
        <w:spacing w:after="200" w:line="276" w:lineRule="auto"/>
      </w:pPr>
      <w:r>
        <w:t>C. 6 weeks — plausible, but not the single most accurate fact asked</w:t>
      </w:r>
    </w:p>
    <w:p>
      <w:pPr>
        <w:spacing w:after="200" w:line="276" w:lineRule="auto"/>
      </w:pPr>
      <w:r>
        <w:t>D. 5 years — plausible, but not the single most accurate fact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newborn may lose up to what percentage of birth weight in the first days?</w:t>
      </w:r>
    </w:p>
    <w:p>
      <w:pPr>
        <w:spacing w:after="200" w:line="276" w:lineRule="auto"/>
      </w:pPr>
      <w:r>
        <w:t>(a) 25%</w:t>
      </w:r>
    </w:p>
    <w:p>
      <w:pPr>
        <w:spacing w:after="200" w:line="276" w:lineRule="auto"/>
      </w:pPr>
      <w:r>
        <w:t>(b) 30%</w:t>
      </w:r>
    </w:p>
    <w:p>
      <w:pPr>
        <w:spacing w:after="200" w:line="276" w:lineRule="auto"/>
      </w:pPr>
      <w:r>
        <w:t>(c) 10%</w:t>
      </w:r>
    </w:p>
    <w:p>
      <w:pPr>
        <w:spacing w:after="200" w:line="276" w:lineRule="auto"/>
      </w:pPr>
      <w:r>
        <w:t>(d) 2%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10%</w:t>
      </w:r>
    </w:p>
    <w:p>
      <w:pPr>
        <w:spacing w:after="200" w:line="276" w:lineRule="auto"/>
      </w:pPr>
      <w:r>
        <w:t>🧠 Clinical Rationale: Physiological weight loss of up to 10% of birth weight occurs in the first 3–4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25% — a related concept, but it does not match the defining feature asked</w:t>
      </w:r>
    </w:p>
    <w:p>
      <w:pPr>
        <w:spacing w:after="200" w:line="276" w:lineRule="auto"/>
      </w:pPr>
      <w:r>
        <w:t>B. 30% — a related concept, but it does not match the defining feature asked</w:t>
      </w:r>
    </w:p>
    <w:p>
      <w:pPr>
        <w:spacing w:after="200" w:line="276" w:lineRule="auto"/>
      </w:pPr>
      <w:r>
        <w:t>D. 2%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anterior fontanelle normally closes by</w:t>
      </w:r>
    </w:p>
    <w:p>
      <w:pPr>
        <w:spacing w:after="200" w:line="276" w:lineRule="auto"/>
      </w:pPr>
      <w:r>
        <w:t>(a) 2 months</w:t>
      </w:r>
    </w:p>
    <w:p>
      <w:pPr>
        <w:spacing w:after="200" w:line="276" w:lineRule="auto"/>
      </w:pPr>
      <w:r>
        <w:t>(b) 12–18 months</w:t>
      </w:r>
    </w:p>
    <w:p>
      <w:pPr>
        <w:spacing w:after="200" w:line="276" w:lineRule="auto"/>
      </w:pPr>
      <w:r>
        <w:t>(c) 6 months</w:t>
      </w:r>
    </w:p>
    <w:p>
      <w:pPr>
        <w:spacing w:after="200" w:line="276" w:lineRule="auto"/>
      </w:pPr>
      <w:r>
        <w:t>(d) 3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12–18 months</w:t>
      </w:r>
    </w:p>
    <w:p>
      <w:pPr>
        <w:spacing w:after="200" w:line="276" w:lineRule="auto"/>
      </w:pPr>
      <w:r>
        <w:t>🧠 Clinical Rationale: The anterior fontanelle closes between 12 and 18 months; the posterior closes by 2–3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months — plausible, but not the single most accurate fact asked</w:t>
      </w:r>
    </w:p>
    <w:p>
      <w:pPr>
        <w:spacing w:after="200" w:line="276" w:lineRule="auto"/>
      </w:pPr>
      <w:r>
        <w:t>C. 6 months — plausible, but not the single most accurate fact asked</w:t>
      </w:r>
    </w:p>
    <w:p>
      <w:pPr>
        <w:spacing w:after="200" w:line="276" w:lineRule="auto"/>
      </w:pPr>
      <w:r>
        <w:t>D. 3 years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umbilical cord stump usually separates in</w:t>
      </w:r>
    </w:p>
    <w:p>
      <w:pPr>
        <w:spacing w:after="200" w:line="276" w:lineRule="auto"/>
      </w:pPr>
      <w:r>
        <w:t>(a) 5–15 days</w:t>
      </w:r>
    </w:p>
    <w:p>
      <w:pPr>
        <w:spacing w:after="200" w:line="276" w:lineRule="auto"/>
      </w:pPr>
      <w:r>
        <w:t>(b) 24 hours</w:t>
      </w:r>
    </w:p>
    <w:p>
      <w:pPr>
        <w:spacing w:after="200" w:line="276" w:lineRule="auto"/>
      </w:pPr>
      <w:r>
        <w:t>(c) 2 months</w:t>
      </w:r>
    </w:p>
    <w:p>
      <w:pPr>
        <w:spacing w:after="200" w:line="276" w:lineRule="auto"/>
      </w:pPr>
      <w:r>
        <w:t>(d) 6 months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5–15 days</w:t>
      </w:r>
    </w:p>
    <w:p>
      <w:pPr>
        <w:spacing w:after="200" w:line="276" w:lineRule="auto"/>
      </w:pPr>
      <w:r>
        <w:t>🧠 Clinical Rationale: The cord dries and separates within 5–15 days with proper dry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24 hours — plausible, but not the single most accurate fact asked</w:t>
      </w:r>
    </w:p>
    <w:p>
      <w:pPr>
        <w:spacing w:after="200" w:line="276" w:lineRule="auto"/>
      </w:pPr>
      <w:r>
        <w:t>C. 2 months — plausible, but not the single most accurate fact asked</w:t>
      </w:r>
    </w:p>
    <w:p>
      <w:pPr>
        <w:spacing w:after="200" w:line="276" w:lineRule="auto"/>
      </w:pPr>
      <w:r>
        <w:t>D. 6 months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infant gains steady head control (holding the head up) by</w:t>
      </w:r>
    </w:p>
    <w:p>
      <w:pPr>
        <w:spacing w:after="200" w:line="276" w:lineRule="auto"/>
      </w:pPr>
      <w:r>
        <w:t>(a) 1 month</w:t>
      </w:r>
    </w:p>
    <w:p>
      <w:pPr>
        <w:spacing w:after="200" w:line="276" w:lineRule="auto"/>
      </w:pPr>
      <w:r>
        <w:t>(b) 9 months</w:t>
      </w:r>
    </w:p>
    <w:p>
      <w:pPr>
        <w:spacing w:after="200" w:line="276" w:lineRule="auto"/>
      </w:pPr>
      <w:r>
        <w:t>(c) 12 months</w:t>
      </w:r>
    </w:p>
    <w:p>
      <w:pPr>
        <w:spacing w:after="200" w:line="276" w:lineRule="auto"/>
      </w:pPr>
      <w:r>
        <w:t>(d) 3–4 months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3–4 months</w:t>
      </w:r>
    </w:p>
    <w:p>
      <w:pPr>
        <w:spacing w:after="200" w:line="276" w:lineRule="auto"/>
      </w:pPr>
      <w:r>
        <w:t>🧠 Clinical Rationale: Head control develops around 3–4 months when neck muscles strengthen.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month — plausible, but not the single most accurate fact asked</w:t>
      </w:r>
    </w:p>
    <w:p>
      <w:pPr>
        <w:spacing w:after="200" w:line="276" w:lineRule="auto"/>
      </w:pPr>
      <w:r>
        <w:t>B. 9 months — plausible, but not the single most accurate fact asked</w:t>
      </w:r>
    </w:p>
    <w:p>
      <w:pPr>
        <w:spacing w:after="200" w:line="276" w:lineRule="auto"/>
      </w:pPr>
      <w:r>
        <w:t>C. 12 months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pincer grasp (thumb-finger pick-up of small objects) develops at</w:t>
      </w:r>
    </w:p>
    <w:p>
      <w:pPr>
        <w:spacing w:after="200" w:line="276" w:lineRule="auto"/>
      </w:pPr>
      <w:r>
        <w:t>(a) 3 months</w:t>
      </w:r>
    </w:p>
    <w:p>
      <w:pPr>
        <w:spacing w:after="200" w:line="276" w:lineRule="auto"/>
      </w:pPr>
      <w:r>
        <w:t>(b) 6 months</w:t>
      </w:r>
    </w:p>
    <w:p>
      <w:pPr>
        <w:spacing w:after="200" w:line="276" w:lineRule="auto"/>
      </w:pPr>
      <w:r>
        <w:t>(c) 9–10 months</w:t>
      </w:r>
    </w:p>
    <w:p>
      <w:pPr>
        <w:spacing w:after="200" w:line="276" w:lineRule="auto"/>
      </w:pPr>
      <w:r>
        <w:t>(d) 18 months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9–10 months</w:t>
      </w:r>
    </w:p>
    <w:p>
      <w:pPr>
        <w:spacing w:after="200" w:line="276" w:lineRule="auto"/>
      </w:pPr>
      <w:r>
        <w:t>🧠 Clinical Rationale: Fine pincer grasp emerges around 9–10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months — plausible, but not the single most accurate fact asked</w:t>
      </w:r>
    </w:p>
    <w:p>
      <w:pPr>
        <w:spacing w:after="200" w:line="276" w:lineRule="auto"/>
      </w:pPr>
      <w:r>
        <w:t>B. 6 months — plausible, but not the single most accurate fact asked</w:t>
      </w:r>
    </w:p>
    <w:p>
      <w:pPr>
        <w:spacing w:after="200" w:line="276" w:lineRule="auto"/>
      </w:pPr>
      <w:r>
        <w:t>D. 18 months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Stranger anxiety in infants typically appears at</w:t>
      </w:r>
    </w:p>
    <w:p>
      <w:pPr>
        <w:spacing w:after="200" w:line="276" w:lineRule="auto"/>
      </w:pPr>
      <w:r>
        <w:t>(a) 1 month</w:t>
      </w:r>
    </w:p>
    <w:p>
      <w:pPr>
        <w:spacing w:after="200" w:line="276" w:lineRule="auto"/>
      </w:pPr>
      <w:r>
        <w:t>(b) 12–18 months only</w:t>
      </w:r>
    </w:p>
    <w:p>
      <w:pPr>
        <w:spacing w:after="200" w:line="276" w:lineRule="auto"/>
      </w:pPr>
      <w:r>
        <w:t>(c) 2 years</w:t>
      </w:r>
    </w:p>
    <w:p>
      <w:pPr>
        <w:spacing w:after="200" w:line="276" w:lineRule="auto"/>
      </w:pPr>
      <w:r>
        <w:t>(d) 6–9 months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6–9 months</w:t>
      </w:r>
    </w:p>
    <w:p>
      <w:pPr>
        <w:spacing w:after="200" w:line="276" w:lineRule="auto"/>
      </w:pPr>
      <w:r>
        <w:t>🧠 Clinical Rationale: Stranger anxiety develops around 6–9 months as attachment strengthens.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month — a related concept, but it does not match the defining feature asked</w:t>
      </w:r>
    </w:p>
    <w:p>
      <w:pPr>
        <w:spacing w:after="200" w:line="276" w:lineRule="auto"/>
      </w:pPr>
      <w:r>
        <w:t>B. 12–18 months only — a related concept, but it does not match the defining feature asked</w:t>
      </w:r>
    </w:p>
    <w:p>
      <w:pPr>
        <w:spacing w:after="200" w:line="276" w:lineRule="auto"/>
      </w:pPr>
      <w:r>
        <w:t>C. 2 years — a related concept, but it does not match the defining feature asked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Parallel play — playing alongside but not with other children — is typical at age</w:t>
      </w:r>
    </w:p>
    <w:p>
      <w:pPr>
        <w:spacing w:after="200" w:line="276" w:lineRule="auto"/>
      </w:pPr>
      <w:r>
        <w:t>(a) 2–3 years</w:t>
      </w:r>
    </w:p>
    <w:p>
      <w:pPr>
        <w:spacing w:after="200" w:line="276" w:lineRule="auto"/>
      </w:pPr>
      <w:r>
        <w:t>(b) 6 months</w:t>
      </w:r>
    </w:p>
    <w:p>
      <w:pPr>
        <w:spacing w:after="200" w:line="276" w:lineRule="auto"/>
      </w:pPr>
      <w:r>
        <w:t>(c) 10 years</w:t>
      </w:r>
    </w:p>
    <w:p>
      <w:pPr>
        <w:spacing w:after="200" w:line="276" w:lineRule="auto"/>
      </w:pPr>
      <w:r>
        <w:t>(d) Adolescence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2–3 years</w:t>
      </w:r>
    </w:p>
    <w:p>
      <w:pPr>
        <w:spacing w:after="200" w:line="276" w:lineRule="auto"/>
      </w:pPr>
      <w:r>
        <w:t>🧠 Clinical Rationale: Toddlers (2–3 years) play parallel; cooperative play develops later (4–5 years).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 months — a related concept, but it does not match the defining feature asked</w:t>
      </w:r>
    </w:p>
    <w:p>
      <w:pPr>
        <w:spacing w:after="200" w:line="276" w:lineRule="auto"/>
      </w:pPr>
      <w:r>
        <w:t>C. 10 years — a related concept, but it does not match the defining feature asked</w:t>
      </w:r>
    </w:p>
    <w:p>
      <w:pPr>
        <w:spacing w:after="200" w:line="276" w:lineRule="auto"/>
      </w:pPr>
      <w:r>
        <w:t>D. Adolescence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Marasmus is characterized by</w:t>
      </w:r>
    </w:p>
    <w:p>
      <w:pPr>
        <w:spacing w:after="200" w:line="276" w:lineRule="auto"/>
      </w:pPr>
      <w:r>
        <w:t>(a) Severe wasting with loss of subcutaneous fat (no oedema)</w:t>
      </w:r>
    </w:p>
    <w:p>
      <w:pPr>
        <w:spacing w:after="200" w:line="276" w:lineRule="auto"/>
      </w:pPr>
      <w:r>
        <w:t>(b) Oedema with fatty liver</w:t>
      </w:r>
    </w:p>
    <w:p>
      <w:pPr>
        <w:spacing w:after="200" w:line="276" w:lineRule="auto"/>
      </w:pPr>
      <w:r>
        <w:t>(c) Moon face</w:t>
      </w:r>
    </w:p>
    <w:p>
      <w:pPr>
        <w:spacing w:after="200" w:line="276" w:lineRule="auto"/>
      </w:pPr>
      <w:r>
        <w:t>(d) Bleeding gums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wasting with loss of subcutaneous fat (no oedema)</w:t>
      </w:r>
    </w:p>
    <w:p>
      <w:pPr>
        <w:spacing w:after="200" w:line="276" w:lineRule="auto"/>
      </w:pPr>
      <w:r>
        <w:t>🧠 Clinical Rationale: Marasmus is severe calorie (energy) deficiency causing extreme wasting, unlike kwashiorkor's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Oedema with fatty liver — does not match the characteristic feature/management described in the stem</w:t>
      </w:r>
    </w:p>
    <w:p>
      <w:pPr>
        <w:spacing w:after="200" w:line="276" w:lineRule="auto"/>
      </w:pPr>
      <w:r>
        <w:t>C. Moon face — does not match the characteristic feature/management described in the stem</w:t>
      </w:r>
    </w:p>
    <w:p>
      <w:pPr>
        <w:spacing w:after="200" w:line="276" w:lineRule="auto"/>
      </w:pPr>
      <w:r>
        <w:t>D. Bleeding gums — does not match the characteristic feature/management described in the stem</w:t>
      </w:r>
    </w:p>
    <w:p>
      <w:pPr>
        <w:spacing w:after="200" w:line="276" w:lineRule="auto"/>
      </w:pPr>
      <w:r>
        <w:t>⚠️ Exam Trap: Oedema is the key discriminator: present in kwashiorkor, absent in marasmus.</w:t>
      </w:r>
    </w:p>
    <w:p>
      <w:pPr>
        <w:spacing w:after="200" w:line="276" w:lineRule="auto"/>
      </w:pPr>
      <w:r>
        <w:t>💎 PNC Pearl: Marasmus = severe calorie deficiency → marked wasting with NO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Marasmus</w:t>
      </w:r>
    </w:p>
    <w:p>
      <w:pPr>
        <w:spacing w:after="200" w:line="276" w:lineRule="auto"/>
      </w:pPr>
      <w:r>
        <w:t>→ Clues: severe emaciation, 'baggy pants' skin folds, no oedema</w:t>
      </w:r>
    </w:p>
    <w:p>
      <w:pPr>
        <w:spacing w:after="200" w:line="276" w:lineRule="auto"/>
      </w:pPr>
      <w:r>
        <w:t>→ Compare: Kwashiorkor has oedema + flag sign hair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newborn with cleft palate should be fed</w:t>
      </w:r>
    </w:p>
    <w:p>
      <w:pPr>
        <w:spacing w:after="200" w:line="276" w:lineRule="auto"/>
      </w:pPr>
      <w:r>
        <w:t>(a) Lying flat</w:t>
      </w:r>
    </w:p>
    <w:p>
      <w:pPr>
        <w:spacing w:after="200" w:line="276" w:lineRule="auto"/>
      </w:pPr>
      <w:r>
        <w:t>(b) In an upright position with a specialized feeder (e.g., cleft bottle/palate obturator)</w:t>
      </w:r>
    </w:p>
    <w:p>
      <w:pPr>
        <w:spacing w:after="200" w:line="276" w:lineRule="auto"/>
      </w:pPr>
      <w:r>
        <w:t>(c) With a normal fast-flow bottle</w:t>
      </w:r>
    </w:p>
    <w:p>
      <w:pPr>
        <w:spacing w:after="200" w:line="276" w:lineRule="auto"/>
      </w:pPr>
      <w:r>
        <w:t>(d) Only by mouth-to-mouth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 an upright position with a specialized feeder (e.g., cleft bottle/palate obturator)</w:t>
      </w:r>
    </w:p>
    <w:p>
      <w:pPr>
        <w:spacing w:after="200" w:line="276" w:lineRule="auto"/>
      </w:pPr>
      <w:r>
        <w:t>🧠 Clinical Rationale: Upright positioning with slow-flow, specialized feeding reduces nasal regurgitation and aspiration.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Lying flat — would be appropriate in a different situation, not this one</w:t>
      </w:r>
    </w:p>
    <w:p>
      <w:pPr>
        <w:spacing w:after="200" w:line="276" w:lineRule="auto"/>
      </w:pPr>
      <w:r>
        <w:t>C. With a normal fast-flow bottle — would be appropriate in a different situation, not this one</w:t>
      </w:r>
    </w:p>
    <w:p>
      <w:pPr>
        <w:spacing w:after="200" w:line="276" w:lineRule="auto"/>
      </w:pPr>
      <w:r>
        <w:t>D. Only by mouth-to-mouth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sign of acute otitis media in an infant is</w:t>
      </w:r>
    </w:p>
    <w:p>
      <w:pPr>
        <w:spacing w:after="200" w:line="276" w:lineRule="auto"/>
      </w:pPr>
      <w:r>
        <w:t>(a) Refusal to wear socks</w:t>
      </w:r>
    </w:p>
    <w:p>
      <w:pPr>
        <w:spacing w:after="200" w:line="276" w:lineRule="auto"/>
      </w:pPr>
      <w:r>
        <w:t>(b) Pulling at the ear with fever and irritability</w:t>
      </w:r>
    </w:p>
    <w:p>
      <w:pPr>
        <w:spacing w:after="200" w:line="276" w:lineRule="auto"/>
      </w:pPr>
      <w:r>
        <w:t>(c) Excessive sleeping</w:t>
      </w:r>
    </w:p>
    <w:p>
      <w:pPr>
        <w:spacing w:after="200" w:line="276" w:lineRule="auto"/>
      </w:pPr>
      <w:r>
        <w:t>(d) Frequent urination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Pulling at the ear with fever and irritability</w:t>
      </w:r>
    </w:p>
    <w:p>
      <w:pPr>
        <w:spacing w:after="200" w:line="276" w:lineRule="auto"/>
      </w:pPr>
      <w:r>
        <w:t>🧠 Clinical Rationale: Ear pulling, fever, irritability and crying at night suggest otitis media in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Refusal to wear socks — does not match the characteristic feature/management described in the stem</w:t>
      </w:r>
    </w:p>
    <w:p>
      <w:pPr>
        <w:spacing w:after="200" w:line="276" w:lineRule="auto"/>
      </w:pPr>
      <w:r>
        <w:t>C. Excessive sleeping — does not match the characteristic feature/management described in the stem</w:t>
      </w:r>
    </w:p>
    <w:p>
      <w:pPr>
        <w:spacing w:after="200" w:line="276" w:lineRule="auto"/>
      </w:pPr>
      <w:r>
        <w:t>D. Frequent urination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simple febrile seizure is characterized by</w:t>
      </w:r>
    </w:p>
    <w:p>
      <w:pPr>
        <w:spacing w:after="200" w:line="276" w:lineRule="auto"/>
      </w:pPr>
      <w:r>
        <w:t>(a) A seizure lasting over 30 minutes</w:t>
      </w:r>
    </w:p>
    <w:p>
      <w:pPr>
        <w:spacing w:after="200" w:line="276" w:lineRule="auto"/>
      </w:pPr>
      <w:r>
        <w:t>(b) Focal seizures only</w:t>
      </w:r>
    </w:p>
    <w:p>
      <w:pPr>
        <w:spacing w:after="200" w:line="276" w:lineRule="auto"/>
      </w:pPr>
      <w:r>
        <w:t>(c) Seizures without fever</w:t>
      </w:r>
    </w:p>
    <w:p>
      <w:pPr>
        <w:spacing w:after="200" w:line="276" w:lineRule="auto"/>
      </w:pPr>
      <w:r>
        <w:t>(d) A generalized convulsion lasting under 15 minutes with fever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generalized convulsion lasting under 15 minutes with fever</w:t>
      </w:r>
    </w:p>
    <w:p>
      <w:pPr>
        <w:spacing w:after="200" w:line="276" w:lineRule="auto"/>
      </w:pPr>
      <w:r>
        <w:t>🧠 Clinical Rationale: Simple febrile seizures are brief (&lt;15 min), generalized and occur with fever, usually resolving by age 5.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seizure lasting over 30 minutes — does not match the characteristic feature/management described in the stem</w:t>
      </w:r>
    </w:p>
    <w:p>
      <w:pPr>
        <w:spacing w:after="200" w:line="276" w:lineRule="auto"/>
      </w:pPr>
      <w:r>
        <w:t>B. Focal seizures only — does not match the characteristic feature/management described in the stem</w:t>
      </w:r>
    </w:p>
    <w:p>
      <w:pPr>
        <w:spacing w:after="200" w:line="276" w:lineRule="auto"/>
      </w:pPr>
      <w:r>
        <w:t>C. Seizures without fever — does not match the characteristic feature/management described in the stem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Albendazole is given to children for</w:t>
      </w:r>
    </w:p>
    <w:p>
      <w:pPr>
        <w:spacing w:after="200" w:line="276" w:lineRule="auto"/>
      </w:pPr>
      <w:r>
        <w:t>(a) Preventing malaria</w:t>
      </w:r>
    </w:p>
    <w:p>
      <w:pPr>
        <w:spacing w:after="200" w:line="276" w:lineRule="auto"/>
      </w:pPr>
      <w:r>
        <w:t>(b) Boosting appetite only</w:t>
      </w:r>
    </w:p>
    <w:p>
      <w:pPr>
        <w:spacing w:after="200" w:line="276" w:lineRule="auto"/>
      </w:pPr>
      <w:r>
        <w:t>(c) Treating cough</w:t>
      </w:r>
    </w:p>
    <w:p>
      <w:pPr>
        <w:spacing w:after="200" w:line="276" w:lineRule="auto"/>
      </w:pPr>
      <w:r>
        <w:t>(d) Deworming (treatment of intestinal worms)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Deworming (treatment of intestinal worms)</w:t>
      </w:r>
    </w:p>
    <w:p>
      <w:pPr>
        <w:spacing w:after="200" w:line="276" w:lineRule="auto"/>
      </w:pPr>
      <w:r>
        <w:t>🧠 Clinical Rationale: Albendazole (400 mg) is the drug for soil-transmitted helminthiasis, given on National Deworming 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Preventing malaria — would be appropriate in a different situation, not this one</w:t>
      </w:r>
    </w:p>
    <w:p>
      <w:pPr>
        <w:spacing w:after="200" w:line="276" w:lineRule="auto"/>
      </w:pPr>
      <w:r>
        <w:t>B. Boosting appetite only — would be appropriate in a different situation, not this one</w:t>
      </w:r>
    </w:p>
    <w:p>
      <w:pPr>
        <w:spacing w:after="200" w:line="276" w:lineRule="auto"/>
      </w:pPr>
      <w:r>
        <w:t>C. Treating cough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Under the Medical Termination of Pregnancy (Amendment) Act, 2021, pregnancy may be terminated up to</w:t>
      </w:r>
    </w:p>
    <w:p>
      <w:pPr>
        <w:spacing w:after="200" w:line="276" w:lineRule="auto"/>
      </w:pPr>
      <w:r>
        <w:t>(a) 12 weeks only</w:t>
      </w:r>
    </w:p>
    <w:p>
      <w:pPr>
        <w:spacing w:after="200" w:line="276" w:lineRule="auto"/>
      </w:pPr>
      <w:r>
        <w:t>(b) 28 weeks freely</w:t>
      </w:r>
    </w:p>
    <w:p>
      <w:pPr>
        <w:spacing w:after="200" w:line="276" w:lineRule="auto"/>
      </w:pPr>
      <w:r>
        <w:t>(c) 20 weeks (with conditions up to 24 weeks)</w:t>
      </w:r>
    </w:p>
    <w:p>
      <w:pPr>
        <w:spacing w:after="200" w:line="276" w:lineRule="auto"/>
      </w:pPr>
      <w:r>
        <w:t>(d) 8 weeks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 weeks (with conditions up to 24 weeks)</w:t>
      </w:r>
    </w:p>
    <w:p>
      <w:pPr>
        <w:spacing w:after="200" w:line="276" w:lineRule="auto"/>
      </w:pPr>
      <w:r>
        <w:t>🧠 Clinical Rationale: MTP is allowed up to 20 weeks generally and 24 weeks for specified categories under the 2021 amendment.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weeks only — plausible, but not the single most accurate fact asked</w:t>
      </w:r>
    </w:p>
    <w:p>
      <w:pPr>
        <w:spacing w:after="200" w:line="276" w:lineRule="auto"/>
      </w:pPr>
      <w:r>
        <w:t>B. 28 weeks freely — plausible, but not the single most accurate fact asked</w:t>
      </w:r>
    </w:p>
    <w:p>
      <w:pPr>
        <w:spacing w:after="200" w:line="276" w:lineRule="auto"/>
      </w:pPr>
      <w:r>
        <w:t>D. 8 weeks only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PCPNDT Act (1994/2003) aims to</w:t>
      </w:r>
    </w:p>
    <w:p>
      <w:pPr>
        <w:spacing w:after="200" w:line="276" w:lineRule="auto"/>
      </w:pPr>
      <w:r>
        <w:t>(a) Promote prenatal tests</w:t>
      </w:r>
    </w:p>
    <w:p>
      <w:pPr>
        <w:spacing w:after="200" w:line="276" w:lineRule="auto"/>
      </w:pPr>
      <w:r>
        <w:t>(b) Regulate drug prices</w:t>
      </w:r>
    </w:p>
    <w:p>
      <w:pPr>
        <w:spacing w:after="200" w:line="276" w:lineRule="auto"/>
      </w:pPr>
      <w:r>
        <w:t>(c) Prevent sex determination and sex-selective abortion</w:t>
      </w:r>
    </w:p>
    <w:p>
      <w:pPr>
        <w:spacing w:after="200" w:line="276" w:lineRule="auto"/>
      </w:pPr>
      <w:r>
        <w:t>(d) Ban child marriage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 sex determination and sex-selective abortion</w:t>
      </w:r>
    </w:p>
    <w:p>
      <w:pPr>
        <w:spacing w:after="200" w:line="276" w:lineRule="auto"/>
      </w:pPr>
      <w:r>
        <w:t>🧠 Clinical Rationale: The Pre-Conception and Pre-Natal Diagnostic Techniques Act prohibits sex determination of the fetus.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Promote prenatal tests — a related concept, but it does not match the defining feature asked</w:t>
      </w:r>
    </w:p>
    <w:p>
      <w:pPr>
        <w:spacing w:after="200" w:line="276" w:lineRule="auto"/>
      </w:pPr>
      <w:r>
        <w:t>B. Regulate drug prices — a related concept, but it does not match the defining feature asked</w:t>
      </w:r>
    </w:p>
    <w:p>
      <w:pPr>
        <w:spacing w:after="200" w:line="276" w:lineRule="auto"/>
      </w:pPr>
      <w:r>
        <w:t>D. Ban child marriage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Emergency contraceptive pills are most effective when taken within</w:t>
      </w:r>
    </w:p>
    <w:p>
      <w:pPr>
        <w:spacing w:after="200" w:line="276" w:lineRule="auto"/>
      </w:pPr>
      <w:r>
        <w:t>(a) 1 week</w:t>
      </w:r>
    </w:p>
    <w:p>
      <w:pPr>
        <w:spacing w:after="200" w:line="276" w:lineRule="auto"/>
      </w:pPr>
      <w:r>
        <w:t>(b) 72 hours (3 days) of unprotected intercourse</w:t>
      </w:r>
    </w:p>
    <w:p>
      <w:pPr>
        <w:spacing w:after="200" w:line="276" w:lineRule="auto"/>
      </w:pPr>
      <w:r>
        <w:t>(c) 1 month</w:t>
      </w:r>
    </w:p>
    <w:p>
      <w:pPr>
        <w:spacing w:after="200" w:line="276" w:lineRule="auto"/>
      </w:pPr>
      <w:r>
        <w:t>(d) 24 hours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72 hours (3 days) of unprotected intercourse</w:t>
      </w:r>
    </w:p>
    <w:p>
      <w:pPr>
        <w:spacing w:after="200" w:line="276" w:lineRule="auto"/>
      </w:pPr>
      <w:r>
        <w:t>🧠 Clinical Rationale: ECPs (levonorgestrel) work best within 72 hours; IUCD can be inserted within 5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week — would be appropriate in a different situation, not this one</w:t>
      </w:r>
    </w:p>
    <w:p>
      <w:pPr>
        <w:spacing w:after="200" w:line="276" w:lineRule="auto"/>
      </w:pPr>
      <w:r>
        <w:t>C. 1 month — would be appropriate in a different situation, not this one</w:t>
      </w:r>
    </w:p>
    <w:p>
      <w:pPr>
        <w:spacing w:after="200" w:line="276" w:lineRule="auto"/>
      </w:pPr>
      <w:r>
        <w:t>D. 24 hours only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IDSP (Integrated Disease Surveillance Programme) monitors</w:t>
      </w:r>
    </w:p>
    <w:p>
      <w:pPr>
        <w:spacing w:after="200" w:line="276" w:lineRule="auto"/>
      </w:pPr>
      <w:r>
        <w:t>(a) School attendance</w:t>
      </w:r>
    </w:p>
    <w:p>
      <w:pPr>
        <w:spacing w:after="200" w:line="276" w:lineRule="auto"/>
      </w:pPr>
      <w:r>
        <w:t>(b) Road accidents only</w:t>
      </w:r>
    </w:p>
    <w:p>
      <w:pPr>
        <w:spacing w:after="200" w:line="276" w:lineRule="auto"/>
      </w:pPr>
      <w:r>
        <w:t>(c) Epidemic-prone communicable diseases</w:t>
      </w:r>
    </w:p>
    <w:p>
      <w:pPr>
        <w:spacing w:after="200" w:line="276" w:lineRule="auto"/>
      </w:pPr>
      <w:r>
        <w:t>(d) Farm produce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Epidemic-prone communicable diseases</w:t>
      </w:r>
    </w:p>
    <w:p>
      <w:pPr>
        <w:spacing w:after="200" w:line="276" w:lineRule="auto"/>
      </w:pPr>
      <w:r>
        <w:t>🧠 Clinical Rationale: IDSP tracks and responds to outbreak-prone diseases through community and facility reporting.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School attendance — plausible, but not the single most accurate fact asked</w:t>
      </w:r>
    </w:p>
    <w:p>
      <w:pPr>
        <w:spacing w:after="200" w:line="276" w:lineRule="auto"/>
      </w:pPr>
      <w:r>
        <w:t>B. Road accidents only — plausible, but not the single most accurate fact asked</w:t>
      </w:r>
    </w:p>
    <w:p>
      <w:pPr>
        <w:spacing w:after="200" w:line="276" w:lineRule="auto"/>
      </w:pPr>
      <w:r>
        <w:t>D. Farm produce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Vector Borne Disease Control Programme covers diseases like</w:t>
      </w:r>
    </w:p>
    <w:p>
      <w:pPr>
        <w:spacing w:after="200" w:line="276" w:lineRule="auto"/>
      </w:pPr>
      <w:r>
        <w:t>(a) Malaria, dengue, kala-azar, filariasis, JE and chikungunya</w:t>
      </w:r>
    </w:p>
    <w:p>
      <w:pPr>
        <w:spacing w:after="200" w:line="276" w:lineRule="auto"/>
      </w:pPr>
      <w:r>
        <w:t>(b) TB and leprosy</w:t>
      </w:r>
    </w:p>
    <w:p>
      <w:pPr>
        <w:spacing w:after="200" w:line="276" w:lineRule="auto"/>
      </w:pPr>
      <w:r>
        <w:t>(c) Diabetes and cancer</w:t>
      </w:r>
    </w:p>
    <w:p>
      <w:pPr>
        <w:spacing w:after="200" w:line="276" w:lineRule="auto"/>
      </w:pPr>
      <w:r>
        <w:t>(d) Anaemia and goitre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Malaria, dengue, kala-azar, filariasis, JE and chikungunya</w:t>
      </w:r>
    </w:p>
    <w:p>
      <w:pPr>
        <w:spacing w:after="200" w:line="276" w:lineRule="auto"/>
      </w:pPr>
      <w:r>
        <w:t>🧠 Clinical Rationale: NVBDCP controls six vector-borne diseases: malaria, dengue, kala-azar, filaria, JE and chikungunya.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TB and leprosy — plausible, but not the single most accurate fact asked</w:t>
      </w:r>
    </w:p>
    <w:p>
      <w:pPr>
        <w:spacing w:after="200" w:line="276" w:lineRule="auto"/>
      </w:pPr>
      <w:r>
        <w:t>C. Diabetes and cancer — plausible, but not the single most accurate fact asked</w:t>
      </w:r>
    </w:p>
    <w:p>
      <w:pPr>
        <w:spacing w:after="200" w:line="276" w:lineRule="auto"/>
      </w:pPr>
      <w:r>
        <w:t>D. Anaemia and goitre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District Mental Health Programme is a component of the</w:t>
      </w:r>
    </w:p>
    <w:p>
      <w:pPr>
        <w:spacing w:after="200" w:line="276" w:lineRule="auto"/>
      </w:pPr>
      <w:r>
        <w:t>(a) National Mental Health Programme</w:t>
      </w:r>
    </w:p>
    <w:p>
      <w:pPr>
        <w:spacing w:after="200" w:line="276" w:lineRule="auto"/>
      </w:pPr>
      <w:r>
        <w:t>(b) National AIDS Control Programme</w:t>
      </w:r>
    </w:p>
    <w:p>
      <w:pPr>
        <w:spacing w:after="200" w:line="276" w:lineRule="auto"/>
      </w:pPr>
      <w:r>
        <w:t>(c) RCH programme</w:t>
      </w:r>
    </w:p>
    <w:p>
      <w:pPr>
        <w:spacing w:after="200" w:line="276" w:lineRule="auto"/>
      </w:pPr>
      <w:r>
        <w:t>(d) Blindness control programme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National Mental Health Programme</w:t>
      </w:r>
    </w:p>
    <w:p>
      <w:pPr>
        <w:spacing w:after="200" w:line="276" w:lineRule="auto"/>
      </w:pPr>
      <w:r>
        <w:t>🧠 Clinical Rationale: DMHP integrates basic mental health care at district level under NMHP.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National AIDS Control Programme — plausible, but not the single most accurate fact asked</w:t>
      </w:r>
    </w:p>
    <w:p>
      <w:pPr>
        <w:spacing w:after="200" w:line="276" w:lineRule="auto"/>
      </w:pPr>
      <w:r>
        <w:t>C. RCH programme — plausible, but not the single most accurate fact asked</w:t>
      </w:r>
    </w:p>
    <w:p>
      <w:pPr>
        <w:spacing w:after="200" w:line="276" w:lineRule="auto"/>
      </w:pPr>
      <w:r>
        <w:t>D. Blindness control programme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