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patient with GERD should be advised to avoid</w:t>
      </w:r>
    </w:p>
    <w:p>
      <w:pPr>
        <w:spacing w:after="200" w:line="276" w:lineRule="auto"/>
      </w:pPr>
      <w:r>
        <w:t>(a) All vegetables</w:t>
      </w:r>
    </w:p>
    <w:p>
      <w:pPr>
        <w:spacing w:after="200" w:line="276" w:lineRule="auto"/>
      </w:pPr>
      <w:r>
        <w:t>(b) Plain water</w:t>
      </w:r>
    </w:p>
    <w:p>
      <w:pPr>
        <w:spacing w:after="200" w:line="276" w:lineRule="auto"/>
      </w:pPr>
      <w:r>
        <w:t>(c) Fatty foods, caffeine, alcohol and late meals</w:t>
      </w:r>
    </w:p>
    <w:p>
      <w:pPr>
        <w:spacing w:after="200" w:line="276" w:lineRule="auto"/>
      </w:pPr>
      <w:r>
        <w:t>(d) Small frequent meals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Fatty foods, caffeine, alcohol and late meals</w:t>
      </w:r>
    </w:p>
    <w:p>
      <w:pPr>
        <w:spacing w:after="200" w:line="276" w:lineRule="auto"/>
      </w:pPr>
      <w:r>
        <w:t>🧠 Clinical Rationale: Fat, caffeine, alcohol and lying down after meals worsen reflux; smaller meals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vegetables — would be appropriate in a different situation, not this one</w:t>
      </w:r>
    </w:p>
    <w:p>
      <w:pPr>
        <w:spacing w:after="200" w:line="276" w:lineRule="auto"/>
      </w:pPr>
      <w:r>
        <w:t>B. Plain water — would be appropriate in a different situation, not this one</w:t>
      </w:r>
    </w:p>
    <w:p>
      <w:pPr>
        <w:spacing w:after="200" w:line="276" w:lineRule="auto"/>
      </w:pPr>
      <w:r>
        <w:t>D. Small frequent meals — would be appropriate in a different situation, not this one</w:t>
      </w:r>
    </w:p>
    <w:p>
      <w:pPr>
        <w:spacing w:after="200" w:line="276" w:lineRule="auto"/>
      </w:pPr>
      <w:r>
        <w:t>⚠️ Exam Trap: GERD lifestyle measures are the exam points: HOB elevation, small meals, no food 2–3 h before bed, weight loss — not just medication.</w:t>
      </w:r>
    </w:p>
    <w:p>
      <w:pPr>
        <w:spacing w:after="200" w:line="276" w:lineRule="auto"/>
      </w:pPr>
      <w:r>
        <w:t>💎 PNC Pearl: GERD: elevate the head of the bed, avoid large/spicy late meals and smoking — antacids/PPIs relieve symptoms.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Duodenal ulcer pain typically</w:t>
      </w:r>
    </w:p>
    <w:p>
      <w:pPr>
        <w:spacing w:after="200" w:line="276" w:lineRule="auto"/>
      </w:pPr>
      <w:r>
        <w:t>(a) Worsens immediately with food</w:t>
      </w:r>
    </w:p>
    <w:p>
      <w:pPr>
        <w:spacing w:after="200" w:line="276" w:lineRule="auto"/>
      </w:pPr>
      <w:r>
        <w:t>(b) Is constant</w:t>
      </w:r>
    </w:p>
    <w:p>
      <w:pPr>
        <w:spacing w:after="200" w:line="276" w:lineRule="auto"/>
      </w:pPr>
      <w:r>
        <w:t>(c) Occurs 2–3 hours after meals and is relieved by food</w:t>
      </w:r>
    </w:p>
    <w:p>
      <w:pPr>
        <w:spacing w:after="200" w:line="276" w:lineRule="auto"/>
      </w:pPr>
      <w:r>
        <w:t>(d) Only occurs at night without relief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Occurs 2–3 hours after meals and is relieved by food</w:t>
      </w:r>
    </w:p>
    <w:p>
      <w:pPr>
        <w:spacing w:after="200" w:line="276" w:lineRule="auto"/>
      </w:pPr>
      <w:r>
        <w:t>🧠 Clinical Rationale: Duodenal ulcers cause hunger pain relieved by eating; gastric ulcer pain worsens with food.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Worsens immediately with food — does not match the characteristic feature/management described in the stem</w:t>
      </w:r>
    </w:p>
    <w:p>
      <w:pPr>
        <w:spacing w:after="200" w:line="276" w:lineRule="auto"/>
      </w:pPr>
      <w:r>
        <w:t>B. Is constant — does not match the characteristic feature/management described in the stem</w:t>
      </w:r>
    </w:p>
    <w:p>
      <w:pPr>
        <w:spacing w:after="200" w:line="276" w:lineRule="auto"/>
      </w:pPr>
      <w:r>
        <w:t>D. Only occurs at night without relief — does not match the characteristic feature/management described in the stem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Peptic ulcer</w:t>
      </w:r>
    </w:p>
    <w:p>
      <w:pPr>
        <w:spacing w:after="200" w:line="276" w:lineRule="auto"/>
      </w:pPr>
      <w:r>
        <w:t>→ Cause: H. pylori, NSAIDs, smoking, stress</w:t>
      </w:r>
    </w:p>
    <w:p>
      <w:pPr>
        <w:spacing w:after="200" w:line="276" w:lineRule="auto"/>
      </w:pPr>
      <w:r>
        <w:t>→ Triple therapy: PPI + Amoxicillin + Clarithromycin (+ metronidazole alternative)</w:t>
      </w:r>
    </w:p>
    <w:p>
      <w:pPr>
        <w:spacing w:after="200" w:line="276" w:lineRule="auto"/>
      </w:pPr>
      <w:r>
        <w:t>→ Pain relieved by food in duodenal ulcer; worse with food in gastric ulcer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an acute upper GI bleed, the nurse's initial actions include</w:t>
      </w:r>
    </w:p>
    <w:p>
      <w:pPr>
        <w:spacing w:after="200" w:line="276" w:lineRule="auto"/>
      </w:pPr>
      <w:r>
        <w:t>(a) IV access, vital signs, NG lavage and preparing for endoscopy</w:t>
      </w:r>
    </w:p>
    <w:p>
      <w:pPr>
        <w:spacing w:after="200" w:line="276" w:lineRule="auto"/>
      </w:pPr>
      <w:r>
        <w:t>(b) Feeding the patient</w:t>
      </w:r>
    </w:p>
    <w:p>
      <w:pPr>
        <w:spacing w:after="200" w:line="276" w:lineRule="auto"/>
      </w:pPr>
      <w:r>
        <w:t>(c) Walking the patient</w:t>
      </w:r>
    </w:p>
    <w:p>
      <w:pPr>
        <w:spacing w:after="200" w:line="276" w:lineRule="auto"/>
      </w:pPr>
      <w:r>
        <w:t>(d) Only antacids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access, vital signs, NG lavage and preparing for endoscopy</w:t>
      </w:r>
    </w:p>
    <w:p>
      <w:pPr>
        <w:spacing w:after="200" w:line="276" w:lineRule="auto"/>
      </w:pPr>
      <w:r>
        <w:t>🧠 Clinical Rationale: Resuscitation, monitoring and endoscopic intervention control active bleeding.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Upper GI Bleed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IV access, vital signs, NG lavage and preparing for endoscopy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Feeding the patient — does not address the immediate life-threatening problem (ABC comes first)</w:t>
      </w:r>
    </w:p>
    <w:p>
      <w:pPr>
        <w:spacing w:after="200" w:line="276" w:lineRule="auto"/>
      </w:pPr>
      <w:r>
        <w:t>C. Walking the patient — does not address the immediate life-threatening problem (ABC comes first)</w:t>
      </w:r>
    </w:p>
    <w:p>
      <w:pPr>
        <w:spacing w:after="200" w:line="276" w:lineRule="auto"/>
      </w:pPr>
      <w:r>
        <w:t>D. Only antacids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Oesophageal variceal bleeding in cirrhosis is treated with</w:t>
      </w:r>
    </w:p>
    <w:p>
      <w:pPr>
        <w:spacing w:after="200" w:line="276" w:lineRule="auto"/>
      </w:pPr>
      <w:r>
        <w:t>(a) Oral antacids</w:t>
      </w:r>
    </w:p>
    <w:p>
      <w:pPr>
        <w:spacing w:after="200" w:line="276" w:lineRule="auto"/>
      </w:pPr>
      <w:r>
        <w:t>(b) Iron tablets</w:t>
      </w:r>
    </w:p>
    <w:p>
      <w:pPr>
        <w:spacing w:after="200" w:line="276" w:lineRule="auto"/>
      </w:pPr>
      <w:r>
        <w:t>(c) Routine laxatives</w:t>
      </w:r>
    </w:p>
    <w:p>
      <w:pPr>
        <w:spacing w:after="200" w:line="276" w:lineRule="auto"/>
      </w:pPr>
      <w:r>
        <w:t>(d) Octreotide, endoscopic banding and volume support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Octreotide, endoscopic banding and volume support</w:t>
      </w:r>
    </w:p>
    <w:p>
      <w:pPr>
        <w:spacing w:after="200" w:line="276" w:lineRule="auto"/>
      </w:pPr>
      <w:r>
        <w:t>🧠 Clinical Rationale: Vasoconstrictors (octreotide/terlipressin) and band ligation stop variceal haemorrhage.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Variceal Bleed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Octreotide, endoscopic banding and volume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antacids — does not address the immediate life-threatening problem (ABC comes first)</w:t>
      </w:r>
    </w:p>
    <w:p>
      <w:pPr>
        <w:spacing w:after="200" w:line="276" w:lineRule="auto"/>
      </w:pPr>
      <w:r>
        <w:t>B. Iron tablets — drug step — may be needed later, but it does not correct the immediate life-threatening problem</w:t>
      </w:r>
    </w:p>
    <w:p>
      <w:pPr>
        <w:spacing w:after="200" w:line="276" w:lineRule="auto"/>
      </w:pPr>
      <w:r>
        <w:t>C. Routine laxatives — does not address the immediate life-threatening problem (ABC comes first)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NSAID use causes gastritis by</w:t>
      </w:r>
    </w:p>
    <w:p>
      <w:pPr>
        <w:spacing w:after="200" w:line="276" w:lineRule="auto"/>
      </w:pPr>
      <w:r>
        <w:t>(a) Increasing stomach acid only</w:t>
      </w:r>
    </w:p>
    <w:p>
      <w:pPr>
        <w:spacing w:after="200" w:line="276" w:lineRule="auto"/>
      </w:pPr>
      <w:r>
        <w:t>(b) Thickening mucus</w:t>
      </w:r>
    </w:p>
    <w:p>
      <w:pPr>
        <w:spacing w:after="200" w:line="276" w:lineRule="auto"/>
      </w:pPr>
      <w:r>
        <w:t>(c) Enhancing healing</w:t>
      </w:r>
    </w:p>
    <w:p>
      <w:pPr>
        <w:spacing w:after="200" w:line="276" w:lineRule="auto"/>
      </w:pPr>
      <w:r>
        <w:t>(d) Reducing protective gastric prostaglandins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Reducing protective gastric prostaglandins</w:t>
      </w:r>
    </w:p>
    <w:p>
      <w:pPr>
        <w:spacing w:after="200" w:line="276" w:lineRule="auto"/>
      </w:pPr>
      <w:r>
        <w:t>🧠 Clinical Rationale: NSAIDs block prostaglandins that protect the gastric mucosa, predisposing to erosions.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Increasing stomach acid only — does not match the characteristic feature/management described in the stem</w:t>
      </w:r>
    </w:p>
    <w:p>
      <w:pPr>
        <w:spacing w:after="200" w:line="276" w:lineRule="auto"/>
      </w:pPr>
      <w:r>
        <w:t>B. Thickening mucus — does not match the characteristic feature/management described in the stem</w:t>
      </w:r>
    </w:p>
    <w:p>
      <w:pPr>
        <w:spacing w:after="200" w:line="276" w:lineRule="auto"/>
      </w:pPr>
      <w:r>
        <w:t>C. Enhancing healing — does not match the characteristic feature/management described in the stem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NSAIDs</w:t>
      </w:r>
    </w:p>
    <w:p>
      <w:pPr>
        <w:spacing w:after="200" w:line="276" w:lineRule="auto"/>
      </w:pPr>
      <w:r>
        <w:t>→ Examples: ibuprofen, diclofenac, naproxen, indomethacin</w:t>
      </w:r>
    </w:p>
    <w:p>
      <w:pPr>
        <w:spacing w:after="200" w:line="276" w:lineRule="auto"/>
      </w:pPr>
      <w:r>
        <w:t>→ Adverse: GI ulcer/bleeding, renal impairment, fluid retention</w:t>
      </w:r>
    </w:p>
    <w:p>
      <w:pPr>
        <w:spacing w:after="200" w:line="276" w:lineRule="auto"/>
      </w:pPr>
      <w:r>
        <w:t>→ Avoid: peptic ulcer disease, asthma (bronchospasm), CKD, anticoagulants</w:t>
      </w:r>
    </w:p>
    <w:p>
      <w:pPr>
        <w:spacing w:after="200" w:line="276" w:lineRule="auto"/>
      </w:pPr>
      <w:r>
        <w:t>→ Give with food/milk; use lowest dose for shortest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in acute gastroenteritis is</w:t>
      </w:r>
    </w:p>
    <w:p>
      <w:pPr>
        <w:spacing w:after="200" w:line="276" w:lineRule="auto"/>
      </w:pPr>
      <w:r>
        <w:t>(a) Antibiotics routinely</w:t>
      </w:r>
    </w:p>
    <w:p>
      <w:pPr>
        <w:spacing w:after="200" w:line="276" w:lineRule="auto"/>
      </w:pPr>
      <w:r>
        <w:t>(b) Fluid and electrolyte replacement (ORS/IV)</w:t>
      </w:r>
    </w:p>
    <w:p>
      <w:pPr>
        <w:spacing w:after="200" w:line="276" w:lineRule="auto"/>
      </w:pPr>
      <w:r>
        <w:t>(c) Antidiarrhoeals</w:t>
      </w:r>
    </w:p>
    <w:p>
      <w:pPr>
        <w:spacing w:after="200" w:line="276" w:lineRule="auto"/>
      </w:pPr>
      <w:r>
        <w:t>(d) Fasting for 48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Fluid and electrolyte replacement (ORS/IV)</w:t>
      </w:r>
    </w:p>
    <w:p>
      <w:pPr>
        <w:spacing w:after="200" w:line="276" w:lineRule="auto"/>
      </w:pPr>
      <w:r>
        <w:t>🧠 Clinical Rationale: Rehydration prevents hypovolaemia; most cases are viral and do not need antibiotics.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routinely — would be appropriate in a different situation, not this one</w:t>
      </w:r>
    </w:p>
    <w:p>
      <w:pPr>
        <w:spacing w:after="200" w:line="276" w:lineRule="auto"/>
      </w:pPr>
      <w:r>
        <w:t>C. Antidiarrhoeals — would be appropriate in a different situation, not this one</w:t>
      </w:r>
    </w:p>
    <w:p>
      <w:pPr>
        <w:spacing w:after="200" w:line="276" w:lineRule="auto"/>
      </w:pPr>
      <w:r>
        <w:t>D. Fasting for 48 hours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an appendectomy, the nurse encourages</w:t>
      </w:r>
    </w:p>
    <w:p>
      <w:pPr>
        <w:spacing w:after="200" w:line="276" w:lineRule="auto"/>
      </w:pPr>
      <w:r>
        <w:t>(a) Prolonged bed rest</w:t>
      </w:r>
    </w:p>
    <w:p>
      <w:pPr>
        <w:spacing w:after="200" w:line="276" w:lineRule="auto"/>
      </w:pPr>
      <w:r>
        <w:t>(b) Heavy lifting</w:t>
      </w:r>
    </w:p>
    <w:p>
      <w:pPr>
        <w:spacing w:after="200" w:line="276" w:lineRule="auto"/>
      </w:pPr>
      <w:r>
        <w:t>(c) Skipping meals</w:t>
      </w:r>
    </w:p>
    <w:p>
      <w:pPr>
        <w:spacing w:after="200" w:line="276" w:lineRule="auto"/>
      </w:pPr>
      <w:r>
        <w:t>(d) Early ambulation to prevent complications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Early ambulation to prevent complications</w:t>
      </w:r>
    </w:p>
    <w:p>
      <w:pPr>
        <w:spacing w:after="200" w:line="276" w:lineRule="auto"/>
      </w:pPr>
      <w:r>
        <w:t>🧠 Clinical Rationale: Early mobility reduces ileus, DVT and chest complications after abdominal surgery.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Prolonged bed rest — would be appropriate in a different situation, not this one</w:t>
      </w:r>
    </w:p>
    <w:p>
      <w:pPr>
        <w:spacing w:after="200" w:line="276" w:lineRule="auto"/>
      </w:pPr>
      <w:r>
        <w:t>B. Heavy lifting — would be appropriate in a different situation, not this one</w:t>
      </w:r>
    </w:p>
    <w:p>
      <w:pPr>
        <w:spacing w:after="200" w:line="276" w:lineRule="auto"/>
      </w:pPr>
      <w:r>
        <w:t>C. Skipping meals — would be appropriate in a different situation, not this one</w:t>
      </w:r>
    </w:p>
    <w:p>
      <w:pPr>
        <w:spacing w:after="200" w:line="276" w:lineRule="auto"/>
      </w:pPr>
      <w:r>
        <w:t>⚠️ Exam Trap: Never massage or rub a leg with suspected DVT — the clot can embolise to the lungs (PE). Homans sign is unreliable.</w:t>
      </w:r>
    </w:p>
    <w:p>
      <w:pPr>
        <w:spacing w:after="200" w:line="276" w:lineRule="auto"/>
      </w:pPr>
      <w:r>
        <w:t>💎 PNC Pearl: DVT prevention is key: early mobilisation, compression stockings and sequential compression devices — never massage a suspected DVT leg.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peritonitis is kept</w:t>
      </w:r>
    </w:p>
    <w:p>
      <w:pPr>
        <w:spacing w:after="200" w:line="276" w:lineRule="auto"/>
      </w:pPr>
      <w:r>
        <w:t>(a) NPO with NG suction and IV fluids</w:t>
      </w:r>
    </w:p>
    <w:p>
      <w:pPr>
        <w:spacing w:after="200" w:line="276" w:lineRule="auto"/>
      </w:pPr>
      <w:r>
        <w:t>(b) On a full diet</w:t>
      </w:r>
    </w:p>
    <w:p>
      <w:pPr>
        <w:spacing w:after="200" w:line="276" w:lineRule="auto"/>
      </w:pPr>
      <w:r>
        <w:t>(c) On laxatives</w:t>
      </w:r>
    </w:p>
    <w:p>
      <w:pPr>
        <w:spacing w:after="200" w:line="276" w:lineRule="auto"/>
      </w:pPr>
      <w:r>
        <w:t>(d) Upright walking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NPO with NG suction and IV fluids</w:t>
      </w:r>
    </w:p>
    <w:p>
      <w:pPr>
        <w:spacing w:after="200" w:line="276" w:lineRule="auto"/>
      </w:pPr>
      <w:r>
        <w:t>🧠 Clinical Rationale: Bowel rest, decompression and antibiotics manage peritonitis; surgery may be needed.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Peritonitis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NPO with NG suction and IV fluids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 a full diet — does not address the immediate life-threatening problem (ABC comes first)</w:t>
      </w:r>
    </w:p>
    <w:p>
      <w:pPr>
        <w:spacing w:after="200" w:line="276" w:lineRule="auto"/>
      </w:pPr>
      <w:r>
        <w:t>C. On laxatives — does not address the immediate life-threatening problem (ABC comes first)</w:t>
      </w:r>
    </w:p>
    <w:p>
      <w:pPr>
        <w:spacing w:after="200" w:line="276" w:lineRule="auto"/>
      </w:pPr>
      <w:r>
        <w:t>D. Upright walking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Nasogastric tube decompression in intestinal obstruction serves to</w:t>
      </w:r>
    </w:p>
    <w:p>
      <w:pPr>
        <w:spacing w:after="200" w:line="276" w:lineRule="auto"/>
      </w:pPr>
      <w:r>
        <w:t>(a) Provide nutrition</w:t>
      </w:r>
    </w:p>
    <w:p>
      <w:pPr>
        <w:spacing w:after="200" w:line="276" w:lineRule="auto"/>
      </w:pPr>
      <w:r>
        <w:t>(b) Give medications</w:t>
      </w:r>
    </w:p>
    <w:p>
      <w:pPr>
        <w:spacing w:after="200" w:line="276" w:lineRule="auto"/>
      </w:pPr>
      <w:r>
        <w:t>(c) Measure urine</w:t>
      </w:r>
    </w:p>
    <w:p>
      <w:pPr>
        <w:spacing w:after="200" w:line="276" w:lineRule="auto"/>
      </w:pPr>
      <w:r>
        <w:t>(d) Relieve distension and prevent aspiration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Relieve distension and prevent aspiration</w:t>
      </w:r>
    </w:p>
    <w:p>
      <w:pPr>
        <w:spacing w:after="200" w:line="276" w:lineRule="auto"/>
      </w:pPr>
      <w:r>
        <w:t>🧠 Clinical Rationale: NG suction empties the stomach, reducing distension and vomiting.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Provide nutrition — would be appropriate in a different situation, not this one</w:t>
      </w:r>
    </w:p>
    <w:p>
      <w:pPr>
        <w:spacing w:after="200" w:line="276" w:lineRule="auto"/>
      </w:pPr>
      <w:r>
        <w:t>B. Give medications — would be appropriate in a different situation, not this one</w:t>
      </w:r>
    </w:p>
    <w:p>
      <w:pPr>
        <w:spacing w:after="200" w:line="276" w:lineRule="auto"/>
      </w:pPr>
      <w:r>
        <w:t>C. Measure urine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a strangulated hernia include</w:t>
      </w:r>
    </w:p>
    <w:p>
      <w:pPr>
        <w:spacing w:after="200" w:line="276" w:lineRule="auto"/>
      </w:pPr>
      <w:r>
        <w:t>(a) A reducible bulge</w:t>
      </w:r>
    </w:p>
    <w:p>
      <w:pPr>
        <w:spacing w:after="200" w:line="276" w:lineRule="auto"/>
      </w:pPr>
      <w:r>
        <w:t>(b) No symptoms</w:t>
      </w:r>
    </w:p>
    <w:p>
      <w:pPr>
        <w:spacing w:after="200" w:line="276" w:lineRule="auto"/>
      </w:pPr>
      <w:r>
        <w:t>(c) Severe pain, vomiting and irreducible tender swelling</w:t>
      </w:r>
    </w:p>
    <w:p>
      <w:pPr>
        <w:spacing w:after="200" w:line="276" w:lineRule="auto"/>
      </w:pPr>
      <w:r>
        <w:t>(d) Mild itching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Severe pain, vomiting and irreducible tender swelling</w:t>
      </w:r>
    </w:p>
    <w:p>
      <w:pPr>
        <w:spacing w:after="200" w:line="276" w:lineRule="auto"/>
      </w:pPr>
      <w:r>
        <w:t>🧠 Clinical Rationale: Strangulation cuts bowel blood supply — an emergency requiring surgery.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Hernia - Strangulation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Severe pain, vomiting and irreducible tender swelling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reducible bulge — does not address the immediate life-threatening problem (ABC comes first)</w:t>
      </w:r>
    </w:p>
    <w:p>
      <w:pPr>
        <w:spacing w:after="200" w:line="276" w:lineRule="auto"/>
      </w:pPr>
      <w:r>
        <w:t>B. No symptoms — does not address the immediate life-threatening problem (ABC comes first)</w:t>
      </w:r>
    </w:p>
    <w:p>
      <w:pPr>
        <w:spacing w:after="200" w:line="276" w:lineRule="auto"/>
      </w:pPr>
      <w:r>
        <w:t>D. Mild itching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Crohn's disease, unlike ulcerative colitis, commonly causes</w:t>
      </w:r>
    </w:p>
    <w:p>
      <w:pPr>
        <w:spacing w:after="200" w:line="276" w:lineRule="auto"/>
      </w:pPr>
      <w:r>
        <w:t>(a) Only rectal bleeding</w:t>
      </w:r>
    </w:p>
    <w:p>
      <w:pPr>
        <w:spacing w:after="200" w:line="276" w:lineRule="auto"/>
      </w:pPr>
      <w:r>
        <w:t>(b) Skip lesions, fistulas and strictures</w:t>
      </w:r>
    </w:p>
    <w:p>
      <w:pPr>
        <w:spacing w:after="200" w:line="276" w:lineRule="auto"/>
      </w:pPr>
      <w:r>
        <w:t>(c) Continuous colonic disease</w:t>
      </w:r>
    </w:p>
    <w:p>
      <w:pPr>
        <w:spacing w:after="200" w:line="276" w:lineRule="auto"/>
      </w:pPr>
      <w:r>
        <w:t>(d) No abdominal pain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Skip lesions, fistulas and strictures</w:t>
      </w:r>
    </w:p>
    <w:p>
      <w:pPr>
        <w:spacing w:after="200" w:line="276" w:lineRule="auto"/>
      </w:pPr>
      <w:r>
        <w:t>🧠 Clinical Rationale: Crohn's affects any part of the GI tract with skip lesions and fistulae; UC is continuous in the colon.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rectal bleeding — does not match the characteristic feature/management described in the stem</w:t>
      </w:r>
    </w:p>
    <w:p>
      <w:pPr>
        <w:spacing w:after="200" w:line="276" w:lineRule="auto"/>
      </w:pPr>
      <w:r>
        <w:t>C. Continuous colonic disease — does not match the characteristic feature/management described in the stem</w:t>
      </w:r>
    </w:p>
    <w:p>
      <w:pPr>
        <w:spacing w:after="200" w:line="276" w:lineRule="auto"/>
      </w:pPr>
      <w:r>
        <w:t>D. No abdominal pain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Average-risk adults are advised to begin colorectal cancer screening at age</w:t>
      </w:r>
    </w:p>
    <w:p>
      <w:pPr>
        <w:spacing w:after="200" w:line="276" w:lineRule="auto"/>
      </w:pPr>
      <w:r>
        <w:t>(a) 45–50 years</w:t>
      </w:r>
    </w:p>
    <w:p>
      <w:pPr>
        <w:spacing w:after="200" w:line="276" w:lineRule="auto"/>
      </w:pPr>
      <w:r>
        <w:t>(b) 20 years</w:t>
      </w:r>
    </w:p>
    <w:p>
      <w:pPr>
        <w:spacing w:after="200" w:line="276" w:lineRule="auto"/>
      </w:pPr>
      <w:r>
        <w:t>(c) 70 years</w:t>
      </w:r>
    </w:p>
    <w:p>
      <w:pPr>
        <w:spacing w:after="200" w:line="276" w:lineRule="auto"/>
      </w:pPr>
      <w:r>
        <w:t>(d) At first symptoms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45–50 years</w:t>
      </w:r>
    </w:p>
    <w:p>
      <w:pPr>
        <w:spacing w:after="200" w:line="276" w:lineRule="auto"/>
      </w:pPr>
      <w:r>
        <w:t>🧠 Clinical Rationale: Colonoscopy (or FOBT) screening starts at 45–50 for average-risk adults.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 years — would be appropriate in a different situation, not this one</w:t>
      </w:r>
    </w:p>
    <w:p>
      <w:pPr>
        <w:spacing w:after="200" w:line="276" w:lineRule="auto"/>
      </w:pPr>
      <w:r>
        <w:t>C. 70 years — would be appropriate in a different situation, not this one</w:t>
      </w:r>
    </w:p>
    <w:p>
      <w:pPr>
        <w:spacing w:after="200" w:line="276" w:lineRule="auto"/>
      </w:pPr>
      <w:r>
        <w:t>D. At first symptoms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Diverticulitis presents with</w:t>
      </w:r>
    </w:p>
    <w:p>
      <w:pPr>
        <w:spacing w:after="200" w:line="276" w:lineRule="auto"/>
      </w:pPr>
      <w:r>
        <w:t>(a) Left lower quadrant pain, fever and altered bowel habits</w:t>
      </w:r>
    </w:p>
    <w:p>
      <w:pPr>
        <w:spacing w:after="200" w:line="276" w:lineRule="auto"/>
      </w:pPr>
      <w:r>
        <w:t>(b) Right upper quadrant colic</w:t>
      </w:r>
    </w:p>
    <w:p>
      <w:pPr>
        <w:spacing w:after="200" w:line="276" w:lineRule="auto"/>
      </w:pPr>
      <w:r>
        <w:t>(c) Painless bleeding</w:t>
      </w:r>
    </w:p>
    <w:p>
      <w:pPr>
        <w:spacing w:after="200" w:line="276" w:lineRule="auto"/>
      </w:pPr>
      <w:r>
        <w:t>(d) Epigastric burning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Left lower quadrant pain, fever and altered bowel habits</w:t>
      </w:r>
    </w:p>
    <w:p>
      <w:pPr>
        <w:spacing w:after="200" w:line="276" w:lineRule="auto"/>
      </w:pPr>
      <w:r>
        <w:t>🧠 Clinical Rationale: Inflamed diverticula cause LLQ pain, fever and change in bowel habit.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Right upper quadrant colic — does not match the characteristic feature/management described in the stem</w:t>
      </w:r>
    </w:p>
    <w:p>
      <w:pPr>
        <w:spacing w:after="200" w:line="276" w:lineRule="auto"/>
      </w:pPr>
      <w:r>
        <w:t>C. Painless bleeding — does not match the characteristic feature/management described in the stem</w:t>
      </w:r>
    </w:p>
    <w:p>
      <w:pPr>
        <w:spacing w:after="200" w:line="276" w:lineRule="auto"/>
      </w:pPr>
      <w:r>
        <w:t>D. Epigastric burning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Conservative management of haemorrhoids includes</w:t>
      </w:r>
    </w:p>
    <w:p>
      <w:pPr>
        <w:spacing w:after="200" w:line="276" w:lineRule="auto"/>
      </w:pPr>
      <w:r>
        <w:t>(a) Straining during defecation</w:t>
      </w:r>
    </w:p>
    <w:p>
      <w:pPr>
        <w:spacing w:after="200" w:line="276" w:lineRule="auto"/>
      </w:pPr>
      <w:r>
        <w:t>(b) High-fibre diet, fluids, sitz baths and stool softeners</w:t>
      </w:r>
    </w:p>
    <w:p>
      <w:pPr>
        <w:spacing w:after="200" w:line="276" w:lineRule="auto"/>
      </w:pPr>
      <w:r>
        <w:t>(c) A low-fibre diet</w:t>
      </w:r>
    </w:p>
    <w:p>
      <w:pPr>
        <w:spacing w:after="200" w:line="276" w:lineRule="auto"/>
      </w:pPr>
      <w:r>
        <w:t>(d) Prolonged sitting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High-fibre diet, fluids, sitz baths and stool softeners</w:t>
      </w:r>
    </w:p>
    <w:p>
      <w:pPr>
        <w:spacing w:after="200" w:line="276" w:lineRule="auto"/>
      </w:pPr>
      <w:r>
        <w:t>🧠 Clinical Rationale: Fibre, hydration and sitz baths reduce symptoms; straining worsens piles.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Straining during defecation — would be appropriate in a different situation, not this one</w:t>
      </w:r>
    </w:p>
    <w:p>
      <w:pPr>
        <w:spacing w:after="200" w:line="276" w:lineRule="auto"/>
      </w:pPr>
      <w:r>
        <w:t>C. A low-fibre diet — would be appropriate in a different situation, not this one</w:t>
      </w:r>
    </w:p>
    <w:p>
      <w:pPr>
        <w:spacing w:after="200" w:line="276" w:lineRule="auto"/>
      </w:pPr>
      <w:r>
        <w:t>D. Prolonged sitting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anal fissure typically causes</w:t>
      </w:r>
    </w:p>
    <w:p>
      <w:pPr>
        <w:spacing w:after="200" w:line="276" w:lineRule="auto"/>
      </w:pPr>
      <w:r>
        <w:t>(a) Painless bleeding</w:t>
      </w:r>
    </w:p>
    <w:p>
      <w:pPr>
        <w:spacing w:after="200" w:line="276" w:lineRule="auto"/>
      </w:pPr>
      <w:r>
        <w:t>(b) Fever</w:t>
      </w:r>
    </w:p>
    <w:p>
      <w:pPr>
        <w:spacing w:after="200" w:line="276" w:lineRule="auto"/>
      </w:pPr>
      <w:r>
        <w:t>(c) Diarrhoea only</w:t>
      </w:r>
    </w:p>
    <w:p>
      <w:pPr>
        <w:spacing w:after="200" w:line="276" w:lineRule="auto"/>
      </w:pPr>
      <w:r>
        <w:t>(d) Sharp pain during and after defecation with slight bleeding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Sharp pain during and after defecation with slight bleeding</w:t>
      </w:r>
    </w:p>
    <w:p>
      <w:pPr>
        <w:spacing w:after="200" w:line="276" w:lineRule="auto"/>
      </w:pPr>
      <w:r>
        <w:t>🧠 Clinical Rationale: Fissures cause tearing pain on stool passage with scant bright-red bleeding.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Painless bleeding — does not match the characteristic feature/management described in the stem</w:t>
      </w:r>
    </w:p>
    <w:p>
      <w:pPr>
        <w:spacing w:after="200" w:line="276" w:lineRule="auto"/>
      </w:pPr>
      <w:r>
        <w:t>B. Fever — does not match the characteristic feature/management described in the stem</w:t>
      </w:r>
    </w:p>
    <w:p>
      <w:pPr>
        <w:spacing w:after="200" w:line="276" w:lineRule="auto"/>
      </w:pPr>
      <w:r>
        <w:t>C. Diarrhoea only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pancreatitis, the nurse</w:t>
      </w:r>
    </w:p>
    <w:p>
      <w:pPr>
        <w:spacing w:after="200" w:line="276" w:lineRule="auto"/>
      </w:pPr>
      <w:r>
        <w:t>(a) Feeds a fatty meal</w:t>
      </w:r>
    </w:p>
    <w:p>
      <w:pPr>
        <w:spacing w:after="200" w:line="276" w:lineRule="auto"/>
      </w:pPr>
      <w:r>
        <w:t>(b) Keeps the patient NPO, controls pain and monitors for complications</w:t>
      </w:r>
    </w:p>
    <w:p>
      <w:pPr>
        <w:spacing w:after="200" w:line="276" w:lineRule="auto"/>
      </w:pPr>
      <w:r>
        <w:t>(c) Gives oral fluids freely</w:t>
      </w:r>
    </w:p>
    <w:p>
      <w:pPr>
        <w:spacing w:after="200" w:line="276" w:lineRule="auto"/>
      </w:pPr>
      <w:r>
        <w:t>(d) Encourages alcohol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Keeps the patient NPO, controls pain and monitors for complications</w:t>
      </w:r>
    </w:p>
    <w:p>
      <w:pPr>
        <w:spacing w:after="200" w:line="276" w:lineRule="auto"/>
      </w:pPr>
      <w:r>
        <w:t>🧠 Clinical Rationale: Bowel rest, analgesia and monitoring (hypocalcaemia, ARDS, infection) are core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Pancreatitis -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Keeps the patient NPO, controls pain and monitors for complications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Feeds a fatty meal — does not address the immediate life-threatening problem (ABC comes first)</w:t>
      </w:r>
    </w:p>
    <w:p>
      <w:pPr>
        <w:spacing w:after="200" w:line="276" w:lineRule="auto"/>
      </w:pPr>
      <w:r>
        <w:t>C. Gives oral fluids freely — does not address the immediate life-threatening problem (ABC comes first)</w:t>
      </w:r>
    </w:p>
    <w:p>
      <w:pPr>
        <w:spacing w:after="200" w:line="276" w:lineRule="auto"/>
      </w:pPr>
      <w:r>
        <w:t>D. Encourages alcohol — does not address the immediate life-threatening problem (ABC comes first)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cholecystectomy, patients are advised a</w:t>
      </w:r>
    </w:p>
    <w:p>
      <w:pPr>
        <w:spacing w:after="200" w:line="276" w:lineRule="auto"/>
      </w:pPr>
      <w:r>
        <w:t>(a) High-fat diet</w:t>
      </w:r>
    </w:p>
    <w:p>
      <w:pPr>
        <w:spacing w:after="200" w:line="276" w:lineRule="auto"/>
      </w:pPr>
      <w:r>
        <w:t>(b) No restrictions</w:t>
      </w:r>
    </w:p>
    <w:p>
      <w:pPr>
        <w:spacing w:after="200" w:line="276" w:lineRule="auto"/>
      </w:pPr>
      <w:r>
        <w:t>(c) Low-fat diet</w:t>
      </w:r>
    </w:p>
    <w:p>
      <w:pPr>
        <w:spacing w:after="200" w:line="276" w:lineRule="auto"/>
      </w:pPr>
      <w:r>
        <w:t>(d) High-cholesterol diet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Low-fat diet</w:t>
      </w:r>
    </w:p>
    <w:p>
      <w:pPr>
        <w:spacing w:after="200" w:line="276" w:lineRule="auto"/>
      </w:pPr>
      <w:r>
        <w:t>🧠 Clinical Rationale: Low-fat intake reduces post-cholecystectomy diarrhoea and biliary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High-fat diet — would be appropriate in a different situation, not this one</w:t>
      </w:r>
    </w:p>
    <w:p>
      <w:pPr>
        <w:spacing w:after="200" w:line="276" w:lineRule="auto"/>
      </w:pPr>
      <w:r>
        <w:t>B. No restrictions — would be appropriate in a different situation, not this one</w:t>
      </w:r>
    </w:p>
    <w:p>
      <w:pPr>
        <w:spacing w:after="200" w:line="276" w:lineRule="auto"/>
      </w:pPr>
      <w:r>
        <w:t>D. High-cholesterol diet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viral hepatitis is managed with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Rest, nutrition and avoiding alcohol/hepatotoxic drugs</w:t>
      </w:r>
    </w:p>
    <w:p>
      <w:pPr>
        <w:spacing w:after="200" w:line="276" w:lineRule="auto"/>
      </w:pPr>
      <w:r>
        <w:t>(c) Steroids routinely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Rest, nutrition and avoiding alcohol/hepatotoxic drugs</w:t>
      </w:r>
    </w:p>
    <w:p>
      <w:pPr>
        <w:spacing w:after="200" w:line="276" w:lineRule="auto"/>
      </w:pPr>
      <w:r>
        <w:t>🧠 Clinical Rationale: Supportive care and abstinence from alcohol promote liver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would be appropriate in a different situation, not this one</w:t>
      </w:r>
    </w:p>
    <w:p>
      <w:pPr>
        <w:spacing w:after="200" w:line="276" w:lineRule="auto"/>
      </w:pPr>
      <w:r>
        <w:t>C. Steroids routinely — would be appropriate in a different situation, not this one</w:t>
      </w:r>
    </w:p>
    <w:p>
      <w:pPr>
        <w:spacing w:after="200" w:line="276" w:lineRule="auto"/>
      </w:pPr>
      <w:r>
        <w:t>D. No treatment — would be appropriate in a different situation, not this one</w:t>
      </w:r>
    </w:p>
    <w:p>
      <w:pPr>
        <w:spacing w:after="200" w:line="276" w:lineRule="auto"/>
      </w:pPr>
      <w:r>
        <w:t>⚠️ Exam Trap: Transmission routes are the exam point: A/E faecal-oral, B/C blood-borne — and hepatitis B vaccine prevents it.</w:t>
      </w:r>
    </w:p>
    <w:p>
      <w:pPr>
        <w:spacing w:after="200" w:line="276" w:lineRule="auto"/>
      </w:pPr>
      <w:r>
        <w:t>💎 PNC Pearl: Hepatitis A/E are faecal-oral (hand hygiene); B/C/D are blood/body fluid — vaccine protects against A and B.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Hepatic encephalopathy is treated with</w:t>
      </w:r>
    </w:p>
    <w:p>
      <w:pPr>
        <w:spacing w:after="200" w:line="276" w:lineRule="auto"/>
      </w:pPr>
      <w:r>
        <w:t>(a) Lactulose to reduce ammonia absorption</w:t>
      </w:r>
    </w:p>
    <w:p>
      <w:pPr>
        <w:spacing w:after="200" w:line="276" w:lineRule="auto"/>
      </w:pPr>
      <w:r>
        <w:t>(b) High-protein diet</w:t>
      </w:r>
    </w:p>
    <w:p>
      <w:pPr>
        <w:spacing w:after="200" w:line="276" w:lineRule="auto"/>
      </w:pPr>
      <w:r>
        <w:t>(c) Sedatives</w:t>
      </w:r>
    </w:p>
    <w:p>
      <w:pPr>
        <w:spacing w:after="200" w:line="276" w:lineRule="auto"/>
      </w:pPr>
      <w:r>
        <w:t>(d) Antacids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Lactulose to reduce ammonia absorption</w:t>
      </w:r>
    </w:p>
    <w:p>
      <w:pPr>
        <w:spacing w:after="200" w:line="276" w:lineRule="auto"/>
      </w:pPr>
      <w:r>
        <w:t>🧠 Clinical Rationale: Lactulose acidifies the colon, trapping ammonia; rifaximin is added in recurrent cases.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Hepatic Encephalopathy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Lactulose to reduce ammonia absorption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High-protein diet — does not address the immediate life-threatening problem (ABC comes first)</w:t>
      </w:r>
    </w:p>
    <w:p>
      <w:pPr>
        <w:spacing w:after="200" w:line="276" w:lineRule="auto"/>
      </w:pPr>
      <w:r>
        <w:t>C. Sedatives — does not address the immediate life-threatening problem (ABC comes first)</w:t>
      </w:r>
    </w:p>
    <w:p>
      <w:pPr>
        <w:spacing w:after="200" w:line="276" w:lineRule="auto"/>
      </w:pPr>
      <w:r>
        <w:t>D. Antacids — does not address the immediate life-threatening problem (ABC comes first)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Bleeding tendency in cirrhosis results from</w:t>
      </w:r>
    </w:p>
    <w:p>
      <w:pPr>
        <w:spacing w:after="200" w:line="276" w:lineRule="auto"/>
      </w:pPr>
      <w:r>
        <w:t>(a) Excess platelets</w:t>
      </w:r>
    </w:p>
    <w:p>
      <w:pPr>
        <w:spacing w:after="200" w:line="276" w:lineRule="auto"/>
      </w:pPr>
      <w:r>
        <w:t>(b) Thick blood</w:t>
      </w:r>
    </w:p>
    <w:p>
      <w:pPr>
        <w:spacing w:after="200" w:line="276" w:lineRule="auto"/>
      </w:pPr>
      <w:r>
        <w:t>(c) Decreased synthesis of clotting factors and vitamin K deficiency</w:t>
      </w:r>
    </w:p>
    <w:p>
      <w:pPr>
        <w:spacing w:after="200" w:line="276" w:lineRule="auto"/>
      </w:pPr>
      <w:r>
        <w:t>(d) Too much fibrinogen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Decreased synthesis of clotting factors and vitamin K deficiency</w:t>
      </w:r>
    </w:p>
    <w:p>
      <w:pPr>
        <w:spacing w:after="200" w:line="276" w:lineRule="auto"/>
      </w:pPr>
      <w:r>
        <w:t>🧠 Clinical Rationale: The failing liver produces fewer clotting factors, prolonging PT/INR.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platelets — does not match the characteristic feature/management described in the stem</w:t>
      </w:r>
    </w:p>
    <w:p>
      <w:pPr>
        <w:spacing w:after="200" w:line="276" w:lineRule="auto"/>
      </w:pPr>
      <w:r>
        <w:t>B. Thick blood — does not match the characteristic feature/management described in the stem</w:t>
      </w:r>
    </w:p>
    <w:p>
      <w:pPr>
        <w:spacing w:after="200" w:line="276" w:lineRule="auto"/>
      </w:pPr>
      <w:r>
        <w:t>D. Too much fibrinogen — does not match the characteristic feature/management described in the stem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