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An infant who frequently 'spits up' but gains weight normally most likely has</w:t>
      </w:r>
    </w:p>
    <w:p>
      <w:pPr>
        <w:spacing w:after="200" w:line="276" w:lineRule="auto"/>
      </w:pPr>
      <w:r>
        <w:t>(a) Pyloric stenosis</w:t>
      </w:r>
    </w:p>
    <w:p>
      <w:pPr>
        <w:spacing w:after="200" w:line="276" w:lineRule="auto"/>
      </w:pPr>
      <w:r>
        <w:t>(b) Intussusception</w:t>
      </w:r>
    </w:p>
    <w:p>
      <w:pPr>
        <w:spacing w:after="200" w:line="276" w:lineRule="auto"/>
      </w:pPr>
      <w:r>
        <w:t>(c) Coeliac disease</w:t>
      </w:r>
    </w:p>
    <w:p>
      <w:pPr>
        <w:spacing w:after="200" w:line="276" w:lineRule="auto"/>
      </w:pPr>
      <w:r>
        <w:t>(d) Physiological gastro-oesophageal reflux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Physiological gastro-oesophageal reflux</w:t>
      </w:r>
    </w:p>
    <w:p>
      <w:pPr>
        <w:spacing w:after="200" w:line="276" w:lineRule="auto"/>
      </w:pPr>
      <w:r>
        <w:t>🧠 Clinical Rationale: Spitting up with normal growth is benign reflux; concerning signs warrant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Pyloric stenosis — does not match the characteristic feature/management described in the stem</w:t>
      </w:r>
    </w:p>
    <w:p>
      <w:pPr>
        <w:spacing w:after="200" w:line="276" w:lineRule="auto"/>
      </w:pPr>
      <w:r>
        <w:t>B. Intussusception — does not match the characteristic feature/management described in the stem</w:t>
      </w:r>
    </w:p>
    <w:p>
      <w:pPr>
        <w:spacing w:after="200" w:line="276" w:lineRule="auto"/>
      </w:pPr>
      <w:r>
        <w:t>C. Coeliac disease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Hypertrophic pyloric stenosis presents with</w:t>
      </w:r>
    </w:p>
    <w:p>
      <w:pPr>
        <w:spacing w:after="200" w:line="276" w:lineRule="auto"/>
      </w:pPr>
      <w:r>
        <w:t>(a) Bloody stools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Jaundice</w:t>
      </w:r>
    </w:p>
    <w:p>
      <w:pPr>
        <w:spacing w:after="200" w:line="276" w:lineRule="auto"/>
      </w:pPr>
      <w:r>
        <w:t>(d) Projectile non-bilious vomiting at 2–6 weeks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Projectile non-bilious vomiting at 2–6 weeks</w:t>
      </w:r>
    </w:p>
    <w:p>
      <w:pPr>
        <w:spacing w:after="200" w:line="276" w:lineRule="auto"/>
      </w:pPr>
      <w:r>
        <w:t>🧠 Clinical Rationale: Projectile vomiting, a palpable 'olive' and weight loss characterize pyloric stenosis.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Bloody stools — does not match the characteristic feature/management described in the stem</w:t>
      </w:r>
    </w:p>
    <w:p>
      <w:pPr>
        <w:spacing w:after="200" w:line="276" w:lineRule="auto"/>
      </w:pPr>
      <w:r>
        <w:t>B. Constipation — does not match the characteristic feature/management described in the stem</w:t>
      </w:r>
    </w:p>
    <w:p>
      <w:pPr>
        <w:spacing w:after="200" w:line="276" w:lineRule="auto"/>
      </w:pPr>
      <w:r>
        <w:t>C. Jaundice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sign of intussusception is</w:t>
      </w:r>
    </w:p>
    <w:p>
      <w:pPr>
        <w:spacing w:after="200" w:line="276" w:lineRule="auto"/>
      </w:pPr>
      <w:r>
        <w:t>(a) Currant-jelly stools with paroxysmal abdominal pain</w:t>
      </w:r>
    </w:p>
    <w:p>
      <w:pPr>
        <w:spacing w:after="200" w:line="276" w:lineRule="auto"/>
      </w:pPr>
      <w:r>
        <w:t>(b) Green vomiting only</w:t>
      </w:r>
    </w:p>
    <w:p>
      <w:pPr>
        <w:spacing w:after="200" w:line="276" w:lineRule="auto"/>
      </w:pPr>
      <w:r>
        <w:t>(c) Watery diarrhoea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Currant-jelly stools with paroxysmal abdominal pain</w:t>
      </w:r>
    </w:p>
    <w:p>
      <w:pPr>
        <w:spacing w:after="200" w:line="276" w:lineRule="auto"/>
      </w:pPr>
      <w:r>
        <w:t>🧠 Clinical Rationale: Bowel telescoping causes colicky pain and blood-mixed mucus stools — an emergency.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Intussusception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Currant-jelly stools with paroxysmal abdominal pain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Green vomiting only — does not address the immediate life-threatening problem (ABC comes first)</w:t>
      </w:r>
    </w:p>
    <w:p>
      <w:pPr>
        <w:spacing w:after="200" w:line="276" w:lineRule="auto"/>
      </w:pPr>
      <w:r>
        <w:t>C. Watery diarrhoea — does not address the immediate life-threatening problem (ABC comes first)</w:t>
      </w:r>
    </w:p>
    <w:p>
      <w:pPr>
        <w:spacing w:after="200" w:line="276" w:lineRule="auto"/>
      </w:pPr>
      <w:r>
        <w:t>D. Constipation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Hirschsprung disease causes</w:t>
      </w:r>
    </w:p>
    <w:p>
      <w:pPr>
        <w:spacing w:after="200" w:line="276" w:lineRule="auto"/>
      </w:pPr>
      <w:r>
        <w:t>(a) Projectile vomiting</w:t>
      </w:r>
    </w:p>
    <w:p>
      <w:pPr>
        <w:spacing w:after="200" w:line="276" w:lineRule="auto"/>
      </w:pPr>
      <w:r>
        <w:t>(b) Diarrhoea</w:t>
      </w:r>
    </w:p>
    <w:p>
      <w:pPr>
        <w:spacing w:after="200" w:line="276" w:lineRule="auto"/>
      </w:pPr>
      <w:r>
        <w:t>(c) Chronic constipation from absent ganglion cells in the colon</w:t>
      </w:r>
    </w:p>
    <w:p>
      <w:pPr>
        <w:spacing w:after="200" w:line="276" w:lineRule="auto"/>
      </w:pPr>
      <w:r>
        <w:t>(d) Jaundice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Chronic constipation from absent ganglion cells in the colon</w:t>
      </w:r>
    </w:p>
    <w:p>
      <w:pPr>
        <w:spacing w:after="200" w:line="276" w:lineRule="auto"/>
      </w:pPr>
      <w:r>
        <w:t>🧠 Clinical Rationale: Aganglionic bowel fails to relax, causing distal obstruction and constipation.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Projectile vomiting — does not match the characteristic feature/management described in the stem</w:t>
      </w:r>
    </w:p>
    <w:p>
      <w:pPr>
        <w:spacing w:after="200" w:line="276" w:lineRule="auto"/>
      </w:pPr>
      <w:r>
        <w:t>B. Diarrhoea — does not match the characteristic feature/management described in the stem</w:t>
      </w:r>
    </w:p>
    <w:p>
      <w:pPr>
        <w:spacing w:after="200" w:line="276" w:lineRule="auto"/>
      </w:pPr>
      <w:r>
        <w:t>D. Jaundice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rotavirus vaccine is administered</w:t>
      </w:r>
    </w:p>
    <w:p>
      <w:pPr>
        <w:spacing w:after="200" w:line="276" w:lineRule="auto"/>
      </w:pPr>
      <w:r>
        <w:t>(a) Intramuscularly</w:t>
      </w:r>
    </w:p>
    <w:p>
      <w:pPr>
        <w:spacing w:after="200" w:line="276" w:lineRule="auto"/>
      </w:pPr>
      <w:r>
        <w:t>(b) Orally in infancy</w:t>
      </w:r>
    </w:p>
    <w:p>
      <w:pPr>
        <w:spacing w:after="200" w:line="276" w:lineRule="auto"/>
      </w:pPr>
      <w:r>
        <w:t>(c) Subcutaneously</w:t>
      </w:r>
    </w:p>
    <w:p>
      <w:pPr>
        <w:spacing w:after="200" w:line="276" w:lineRule="auto"/>
      </w:pPr>
      <w:r>
        <w:t>(d) Intravenously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Orally in infancy</w:t>
      </w:r>
    </w:p>
    <w:p>
      <w:pPr>
        <w:spacing w:after="200" w:line="276" w:lineRule="auto"/>
      </w:pPr>
      <w:r>
        <w:t>🧠 Clinical Rationale: Rotavirus vaccine is an oral live vaccine given at 6, 10 and 14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Intramuscularly — plausible, but not the single most accurate fact asked</w:t>
      </w:r>
    </w:p>
    <w:p>
      <w:pPr>
        <w:spacing w:after="200" w:line="276" w:lineRule="auto"/>
      </w:pPr>
      <w:r>
        <w:t>C. Subcutaneously — plausible, but not the single most accurate fact asked</w:t>
      </w:r>
    </w:p>
    <w:p>
      <w:pPr>
        <w:spacing w:after="200" w:line="276" w:lineRule="auto"/>
      </w:pPr>
      <w:r>
        <w:t>D. Intravenously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ORS corners at community level provide</w:t>
      </w:r>
    </w:p>
    <w:p>
      <w:pPr>
        <w:spacing w:after="200" w:line="276" w:lineRule="auto"/>
      </w:pPr>
      <w:r>
        <w:t>(a) Surgery</w:t>
      </w:r>
    </w:p>
    <w:p>
      <w:pPr>
        <w:spacing w:after="200" w:line="276" w:lineRule="auto"/>
      </w:pPr>
      <w:r>
        <w:t>(b) Blood transfusion</w:t>
      </w:r>
    </w:p>
    <w:p>
      <w:pPr>
        <w:spacing w:after="200" w:line="276" w:lineRule="auto"/>
      </w:pPr>
      <w:r>
        <w:t>(c) Immunization only</w:t>
      </w:r>
    </w:p>
    <w:p>
      <w:pPr>
        <w:spacing w:after="200" w:line="276" w:lineRule="auto"/>
      </w:pPr>
      <w:r>
        <w:t>(d) Immediate oral rehydration for diarrhoea cases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Immediate oral rehydration for diarrhoea cases</w:t>
      </w:r>
    </w:p>
    <w:p>
      <w:pPr>
        <w:spacing w:after="200" w:line="276" w:lineRule="auto"/>
      </w:pPr>
      <w:r>
        <w:t>🧠 Clinical Rationale: ORS corners enable early rehydration and prevent dehydration deaths.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Surgery — would be appropriate in a different situation, not this one</w:t>
      </w:r>
    </w:p>
    <w:p>
      <w:pPr>
        <w:spacing w:after="200" w:line="276" w:lineRule="auto"/>
      </w:pPr>
      <w:r>
        <w:t>B. Blood transfusion — would be appropriate in a different situation, not this one</w:t>
      </w:r>
    </w:p>
    <w:p>
      <w:pPr>
        <w:spacing w:after="200" w:line="276" w:lineRule="auto"/>
      </w:pPr>
      <w:r>
        <w:t>C. Immunization only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Excess fluoride in drinking water causes</w:t>
      </w:r>
    </w:p>
    <w:p>
      <w:pPr>
        <w:spacing w:after="200" w:line="276" w:lineRule="auto"/>
      </w:pPr>
      <w:r>
        <w:t>(a) Goitre</w:t>
      </w:r>
    </w:p>
    <w:p>
      <w:pPr>
        <w:spacing w:after="200" w:line="276" w:lineRule="auto"/>
      </w:pPr>
      <w:r>
        <w:t>(b) Anaemia</w:t>
      </w:r>
    </w:p>
    <w:p>
      <w:pPr>
        <w:spacing w:after="200" w:line="276" w:lineRule="auto"/>
      </w:pPr>
      <w:r>
        <w:t>(c) Dental and skeletal fluorosis</w:t>
      </w:r>
    </w:p>
    <w:p>
      <w:pPr>
        <w:spacing w:after="200" w:line="276" w:lineRule="auto"/>
      </w:pPr>
      <w:r>
        <w:t>(d) Cataract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Dental and skeletal fluorosis</w:t>
      </w:r>
    </w:p>
    <w:p>
      <w:pPr>
        <w:spacing w:after="200" w:line="276" w:lineRule="auto"/>
      </w:pPr>
      <w:r>
        <w:t>🧠 Clinical Rationale: High fluoride intake stains teeth and deforms bones (fluorosis).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Goitre — does not match the characteristic feature/management described in the stem</w:t>
      </w:r>
    </w:p>
    <w:p>
      <w:pPr>
        <w:spacing w:after="200" w:line="276" w:lineRule="auto"/>
      </w:pPr>
      <w:r>
        <w:t>B. Anaemia — does not match the characteristic feature/management described in the stem</w:t>
      </w:r>
    </w:p>
    <w:p>
      <w:pPr>
        <w:spacing w:after="200" w:line="276" w:lineRule="auto"/>
      </w:pPr>
      <w:r>
        <w:t>D. Cataract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foodborne illness from street food, one should</w:t>
      </w:r>
    </w:p>
    <w:p>
      <w:pPr>
        <w:spacing w:after="200" w:line="276" w:lineRule="auto"/>
      </w:pPr>
      <w:r>
        <w:t>(a) Eat any leftover food</w:t>
      </w:r>
    </w:p>
    <w:p>
      <w:pPr>
        <w:spacing w:after="200" w:line="276" w:lineRule="auto"/>
      </w:pPr>
      <w:r>
        <w:t>(b) Choose freshly cooked food and ensure safe water/hygiene</w:t>
      </w:r>
    </w:p>
    <w:p>
      <w:pPr>
        <w:spacing w:after="200" w:line="276" w:lineRule="auto"/>
      </w:pPr>
      <w:r>
        <w:t>(c) Ignore hygiene</w:t>
      </w:r>
    </w:p>
    <w:p>
      <w:pPr>
        <w:spacing w:after="200" w:line="276" w:lineRule="auto"/>
      </w:pPr>
      <w:r>
        <w:t>(d) Buy stale items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Choose freshly cooked food and ensure safe water/hygiene</w:t>
      </w:r>
    </w:p>
    <w:p>
      <w:pPr>
        <w:spacing w:after="200" w:line="276" w:lineRule="auto"/>
      </w:pPr>
      <w:r>
        <w:t>🧠 Clinical Rationale: Freshly prepared food and clean practices reduce contamination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Eat any leftover food — would be appropriate in a different situation, not this one</w:t>
      </w:r>
    </w:p>
    <w:p>
      <w:pPr>
        <w:spacing w:after="200" w:line="276" w:lineRule="auto"/>
      </w:pPr>
      <w:r>
        <w:t>C. Ignore hygiene — would be appropriate in a different situation, not this one</w:t>
      </w:r>
    </w:p>
    <w:p>
      <w:pPr>
        <w:spacing w:after="200" w:line="276" w:lineRule="auto"/>
      </w:pPr>
      <w:r>
        <w:t>D. Buy stale items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Soil-transmitted worm infections are prevented by</w:t>
      </w:r>
    </w:p>
    <w:p>
      <w:pPr>
        <w:spacing w:after="200" w:line="276" w:lineRule="auto"/>
      </w:pPr>
      <w:r>
        <w:t>(a) Vaccination</w:t>
      </w:r>
    </w:p>
    <w:p>
      <w:pPr>
        <w:spacing w:after="200" w:line="276" w:lineRule="auto"/>
      </w:pPr>
      <w:r>
        <w:t>(b) Sanitation, footwear and periodic deworming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Only bathing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Sanitation, footwear and periodic deworming</w:t>
      </w:r>
    </w:p>
    <w:p>
      <w:pPr>
        <w:spacing w:after="200" w:line="276" w:lineRule="auto"/>
      </w:pPr>
      <w:r>
        <w:t>🧠 Clinical Rationale: Safe excreta disposal, shoes and albendazole break the transmission cycle.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Vaccination — a related concept, but it does not match the defining feature asked</w:t>
      </w:r>
    </w:p>
    <w:p>
      <w:pPr>
        <w:spacing w:after="200" w:line="276" w:lineRule="auto"/>
      </w:pPr>
      <w:r>
        <w:t>C. Antibiotics — a related concept, but it does not match the defining feature asked</w:t>
      </w:r>
    </w:p>
    <w:p>
      <w:pPr>
        <w:spacing w:after="200" w:line="276" w:lineRule="auto"/>
      </w:pPr>
      <w:r>
        <w:t>D. Only bathing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diarrhoea campaigns promote</w:t>
      </w:r>
    </w:p>
    <w:p>
      <w:pPr>
        <w:spacing w:after="200" w:line="276" w:lineRule="auto"/>
      </w:pPr>
      <w:r>
        <w:t>(a) ORS, zinc and breastfeeding during diarrhoea</w:t>
      </w:r>
    </w:p>
    <w:p>
      <w:pPr>
        <w:spacing w:after="200" w:line="276" w:lineRule="auto"/>
      </w:pPr>
      <w:r>
        <w:t>(b) Antibiotic misuse</w:t>
      </w:r>
    </w:p>
    <w:p>
      <w:pPr>
        <w:spacing w:after="200" w:line="276" w:lineRule="auto"/>
      </w:pPr>
      <w:r>
        <w:t>(c) Fasting children</w:t>
      </w:r>
    </w:p>
    <w:p>
      <w:pPr>
        <w:spacing w:after="200" w:line="276" w:lineRule="auto"/>
      </w:pPr>
      <w:r>
        <w:t>(d) Hospitalizing everyone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ORS, zinc and breastfeeding during diarrhoea</w:t>
      </w:r>
    </w:p>
    <w:p>
      <w:pPr>
        <w:spacing w:after="200" w:line="276" w:lineRule="auto"/>
      </w:pPr>
      <w:r>
        <w:t>🧠 Clinical Rationale: ORS + zinc + continued feeding is the standard community treatment of diarrhoea.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Antibiotic misuse — would be appropriate in a different situation, not this one</w:t>
      </w:r>
    </w:p>
    <w:p>
      <w:pPr>
        <w:spacing w:after="200" w:line="276" w:lineRule="auto"/>
      </w:pPr>
      <w:r>
        <w:t>C. Fasting children — would be appropriate in a different situation, not this one</w:t>
      </w:r>
    </w:p>
    <w:p>
      <w:pPr>
        <w:spacing w:after="200" w:line="276" w:lineRule="auto"/>
      </w:pPr>
      <w:r>
        <w:t>D. Hospitalizing everyone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Bulimia nervosa is characterized by</w:t>
      </w:r>
    </w:p>
    <w:p>
      <w:pPr>
        <w:spacing w:after="200" w:line="276" w:lineRule="auto"/>
      </w:pPr>
      <w:r>
        <w:t>(a) Only food refusal</w:t>
      </w:r>
    </w:p>
    <w:p>
      <w:pPr>
        <w:spacing w:after="200" w:line="276" w:lineRule="auto"/>
      </w:pPr>
      <w:r>
        <w:t>(b) Restriction without binges</w:t>
      </w:r>
    </w:p>
    <w:p>
      <w:pPr>
        <w:spacing w:after="200" w:line="276" w:lineRule="auto"/>
      </w:pPr>
      <w:r>
        <w:t>(c) No weight concern</w:t>
      </w:r>
    </w:p>
    <w:p>
      <w:pPr>
        <w:spacing w:after="200" w:line="276" w:lineRule="auto"/>
      </w:pPr>
      <w:r>
        <w:t>(d) Binge eating followed by purging (vomiting, laxatives)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Binge eating followed by purging (vomiting, laxatives)</w:t>
      </w:r>
    </w:p>
    <w:p>
      <w:pPr>
        <w:spacing w:after="200" w:line="276" w:lineRule="auto"/>
      </w:pPr>
      <w:r>
        <w:t>🧠 Clinical Rationale: Bulimia: recurrent binges with compensatory purging and body-image concerns.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food refusal — does not match the characteristic feature/management described in the stem</w:t>
      </w:r>
    </w:p>
    <w:p>
      <w:pPr>
        <w:spacing w:after="200" w:line="276" w:lineRule="auto"/>
      </w:pPr>
      <w:r>
        <w:t>B. Restriction without binges — does not match the characteristic feature/management described in the stem</w:t>
      </w:r>
    </w:p>
    <w:p>
      <w:pPr>
        <w:spacing w:after="200" w:line="276" w:lineRule="auto"/>
      </w:pPr>
      <w:r>
        <w:t>C. No weight concern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Irritable bowel syndrome is considered a</w:t>
      </w:r>
    </w:p>
    <w:p>
      <w:pPr>
        <w:spacing w:after="200" w:line="276" w:lineRule="auto"/>
      </w:pPr>
      <w:r>
        <w:t>(a) Disorder of gut-brain interaction (functional)</w:t>
      </w:r>
    </w:p>
    <w:p>
      <w:pPr>
        <w:spacing w:after="200" w:line="276" w:lineRule="auto"/>
      </w:pPr>
      <w:r>
        <w:t>(b) Structural tumour</w:t>
      </w:r>
    </w:p>
    <w:p>
      <w:pPr>
        <w:spacing w:after="200" w:line="276" w:lineRule="auto"/>
      </w:pPr>
      <w:r>
        <w:t>(c) Inflammatory disease</w:t>
      </w:r>
    </w:p>
    <w:p>
      <w:pPr>
        <w:spacing w:after="200" w:line="276" w:lineRule="auto"/>
      </w:pPr>
      <w:r>
        <w:t>(d) Infectious disease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Disorder of gut-brain interaction (functional)</w:t>
      </w:r>
    </w:p>
    <w:p>
      <w:pPr>
        <w:spacing w:after="200" w:line="276" w:lineRule="auto"/>
      </w:pPr>
      <w:r>
        <w:t>🧠 Clinical Rationale: IBS involves altered motility and visceral sensitivity linked to stress.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Structural tumour — a related concept, but it does not match the defining feature asked</w:t>
      </w:r>
    </w:p>
    <w:p>
      <w:pPr>
        <w:spacing w:after="200" w:line="276" w:lineRule="auto"/>
      </w:pPr>
      <w:r>
        <w:t>C. Inflammatory disease — a related concept, but it does not match the defining feature asked</w:t>
      </w:r>
    </w:p>
    <w:p>
      <w:pPr>
        <w:spacing w:after="200" w:line="276" w:lineRule="auto"/>
      </w:pPr>
      <w:r>
        <w:t>D. Infectious disease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Recurrent abdominal pain with negative investigations may reflect</w:t>
      </w:r>
    </w:p>
    <w:p>
      <w:pPr>
        <w:spacing w:after="200" w:line="276" w:lineRule="auto"/>
      </w:pPr>
      <w:r>
        <w:t>(a) Cancer always</w:t>
      </w:r>
    </w:p>
    <w:p>
      <w:pPr>
        <w:spacing w:after="200" w:line="276" w:lineRule="auto"/>
      </w:pPr>
      <w:r>
        <w:t>(b) Ulcer always</w:t>
      </w:r>
    </w:p>
    <w:p>
      <w:pPr>
        <w:spacing w:after="200" w:line="276" w:lineRule="auto"/>
      </w:pPr>
      <w:r>
        <w:t>(c) Somatic symptom disorder</w:t>
      </w:r>
    </w:p>
    <w:p>
      <w:pPr>
        <w:spacing w:after="200" w:line="276" w:lineRule="auto"/>
      </w:pPr>
      <w:r>
        <w:t>(d) Malingering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Somatic symptom disorder</w:t>
      </w:r>
    </w:p>
    <w:p>
      <w:pPr>
        <w:spacing w:after="200" w:line="276" w:lineRule="auto"/>
      </w:pPr>
      <w:r>
        <w:t>🧠 Clinical Rationale: GI symptoms without organic cause can be a somatization of distress.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Abdominal pain — visceral pathology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Cancer always — does not match the characteristic feature/management described in the stem</w:t>
      </w:r>
    </w:p>
    <w:p>
      <w:pPr>
        <w:spacing w:after="200" w:line="276" w:lineRule="auto"/>
      </w:pPr>
      <w:r>
        <w:t>B. Ulcer always — does not match the characteristic feature/management described in the stem</w:t>
      </w:r>
    </w:p>
    <w:p>
      <w:pPr>
        <w:spacing w:after="200" w:line="276" w:lineRule="auto"/>
      </w:pPr>
      <w:r>
        <w:t>D. Malingering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cross-sectional study measures exposure and outcome</w:t>
      </w:r>
    </w:p>
    <w:p>
      <w:pPr>
        <w:spacing w:after="200" w:line="276" w:lineRule="auto"/>
      </w:pPr>
      <w:r>
        <w:t>(a) Over many years forward</w:t>
      </w:r>
    </w:p>
    <w:p>
      <w:pPr>
        <w:spacing w:after="200" w:line="276" w:lineRule="auto"/>
      </w:pPr>
      <w:r>
        <w:t>(b) Retrospectively only</w:t>
      </w:r>
    </w:p>
    <w:p>
      <w:pPr>
        <w:spacing w:after="200" w:line="276" w:lineRule="auto"/>
      </w:pPr>
      <w:r>
        <w:t>(c) At one point in time</w:t>
      </w:r>
    </w:p>
    <w:p>
      <w:pPr>
        <w:spacing w:after="200" w:line="276" w:lineRule="auto"/>
      </w:pPr>
      <w:r>
        <w:t>(d) In one person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 one point in time</w:t>
      </w:r>
    </w:p>
    <w:p>
      <w:pPr>
        <w:spacing w:after="200" w:line="276" w:lineRule="auto"/>
      </w:pPr>
      <w:r>
        <w:t>🧠 Clinical Rationale: Cross-sectional surveys capture a snapshot, useful for prevalence.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Over many years forward — a related concept, but it does not match the defining feature asked</w:t>
      </w:r>
    </w:p>
    <w:p>
      <w:pPr>
        <w:spacing w:after="200" w:line="276" w:lineRule="auto"/>
      </w:pPr>
      <w:r>
        <w:t>B. Retrospectively only — a related concept, but it does not match the defining feature asked</w:t>
      </w:r>
    </w:p>
    <w:p>
      <w:pPr>
        <w:spacing w:after="200" w:line="276" w:lineRule="auto"/>
      </w:pPr>
      <w:r>
        <w:t>D. In one person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chi-square test is used to</w:t>
      </w:r>
    </w:p>
    <w:p>
      <w:pPr>
        <w:spacing w:after="200" w:line="276" w:lineRule="auto"/>
      </w:pPr>
      <w:r>
        <w:t>(a) Compare proportions between categorical groups</w:t>
      </w:r>
    </w:p>
    <w:p>
      <w:pPr>
        <w:spacing w:after="200" w:line="276" w:lineRule="auto"/>
      </w:pPr>
      <w:r>
        <w:t>(b) Compare two means</w:t>
      </w:r>
    </w:p>
    <w:p>
      <w:pPr>
        <w:spacing w:after="200" w:line="276" w:lineRule="auto"/>
      </w:pPr>
      <w:r>
        <w:t>(c) Measure correlation</w:t>
      </w:r>
    </w:p>
    <w:p>
      <w:pPr>
        <w:spacing w:after="200" w:line="276" w:lineRule="auto"/>
      </w:pPr>
      <w:r>
        <w:t>(d) Calculate survival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Compare proportions between categorical groups</w:t>
      </w:r>
    </w:p>
    <w:p>
      <w:pPr>
        <w:spacing w:after="200" w:line="276" w:lineRule="auto"/>
      </w:pPr>
      <w:r>
        <w:t>🧠 Clinical Rationale: Chi-square tests association between categorical variables.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Compare two means — a related concept, but it does not match the defining feature asked</w:t>
      </w:r>
    </w:p>
    <w:p>
      <w:pPr>
        <w:spacing w:after="200" w:line="276" w:lineRule="auto"/>
      </w:pPr>
      <w:r>
        <w:t>C. Measure correlation — a related concept, but it does not match the defining feature asked</w:t>
      </w:r>
    </w:p>
    <w:p>
      <w:pPr>
        <w:spacing w:after="200" w:line="276" w:lineRule="auto"/>
      </w:pPr>
      <w:r>
        <w:t>D. Calculate survival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Kitchen staff in hospitals must follow</w:t>
      </w:r>
    </w:p>
    <w:p>
      <w:pPr>
        <w:spacing w:after="200" w:line="276" w:lineRule="auto"/>
      </w:pPr>
      <w:r>
        <w:t>(a) No hygiene rules</w:t>
      </w:r>
    </w:p>
    <w:p>
      <w:pPr>
        <w:spacing w:after="200" w:line="276" w:lineRule="auto"/>
      </w:pPr>
      <w:r>
        <w:t>(b) Open wounds uncovered</w:t>
      </w:r>
    </w:p>
    <w:p>
      <w:pPr>
        <w:spacing w:after="200" w:line="276" w:lineRule="auto"/>
      </w:pPr>
      <w:r>
        <w:t>(c) Hand hygiene, hair covering and exclusion when ill</w:t>
      </w:r>
    </w:p>
    <w:p>
      <w:pPr>
        <w:spacing w:after="200" w:line="276" w:lineRule="auto"/>
      </w:pPr>
      <w:r>
        <w:t>(d) Sharing aprons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Hand hygiene, hair covering and exclusion when ill</w:t>
      </w:r>
    </w:p>
    <w:p>
      <w:pPr>
        <w:spacing w:after="200" w:line="276" w:lineRule="auto"/>
      </w:pPr>
      <w:r>
        <w:t>🧠 Clinical Rationale: Food handler hygiene prevents hospital foodborne outbreaks.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Food Handler Hygiene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Hand hygiene, hair covering and exclusion when ill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hygiene rules — does not address the immediate life-threatening problem (ABC comes first)</w:t>
      </w:r>
    </w:p>
    <w:p>
      <w:pPr>
        <w:spacing w:after="200" w:line="276" w:lineRule="auto"/>
      </w:pPr>
      <w:r>
        <w:t>B. Open wounds uncovered — does not address the immediate life-threatening problem (ABC comes first)</w:t>
      </w:r>
    </w:p>
    <w:p>
      <w:pPr>
        <w:spacing w:after="200" w:line="276" w:lineRule="auto"/>
      </w:pPr>
      <w:r>
        <w:t>D. Sharing aprons — does not address the immediate life-threatening problem (ABC comes first)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coordinates with the dietary department to ensure</w:t>
      </w:r>
    </w:p>
    <w:p>
      <w:pPr>
        <w:spacing w:after="200" w:line="276" w:lineRule="auto"/>
      </w:pPr>
      <w:r>
        <w:t>(a) Meals are identical for all</w:t>
      </w:r>
    </w:p>
    <w:p>
      <w:pPr>
        <w:spacing w:after="200" w:line="276" w:lineRule="auto"/>
      </w:pPr>
      <w:r>
        <w:t>(b) Food is optional</w:t>
      </w:r>
    </w:p>
    <w:p>
      <w:pPr>
        <w:spacing w:after="200" w:line="276" w:lineRule="auto"/>
      </w:pPr>
      <w:r>
        <w:t>(c) Patients order their own drugs</w:t>
      </w:r>
    </w:p>
    <w:p>
      <w:pPr>
        <w:spacing w:after="200" w:line="276" w:lineRule="auto"/>
      </w:pPr>
      <w:r>
        <w:t>(d) Therapeutic diets match each patient's orders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Therapeutic diets match each patient's orders</w:t>
      </w:r>
    </w:p>
    <w:p>
      <w:pPr>
        <w:spacing w:after="200" w:line="276" w:lineRule="auto"/>
      </w:pPr>
      <w:r>
        <w:t>🧠 Clinical Rationale: Diet-nurse coordination ensures prescribed diets (diabetic, renal, soft) are served correctly.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Meals are identical for all — a related concept, but it does not match the defining feature asked</w:t>
      </w:r>
    </w:p>
    <w:p>
      <w:pPr>
        <w:spacing w:after="200" w:line="276" w:lineRule="auto"/>
      </w:pPr>
      <w:r>
        <w:t>B. Food is optional — a related concept, but it does not match the defining feature asked</w:t>
      </w:r>
    </w:p>
    <w:p>
      <w:pPr>
        <w:spacing w:after="200" w:line="276" w:lineRule="auto"/>
      </w:pPr>
      <w:r>
        <w:t>C. Patients order their own drugs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Patient teaching on liver disease emphasizes</w:t>
      </w:r>
    </w:p>
    <w:p>
      <w:pPr>
        <w:spacing w:after="200" w:line="276" w:lineRule="auto"/>
      </w:pPr>
      <w:r>
        <w:t>(a) Avoiding alcohol and following the prescribed diet</w:t>
      </w:r>
    </w:p>
    <w:p>
      <w:pPr>
        <w:spacing w:after="200" w:line="276" w:lineRule="auto"/>
      </w:pPr>
      <w:r>
        <w:t>(b) Taking any herbal remedies</w:t>
      </w:r>
    </w:p>
    <w:p>
      <w:pPr>
        <w:spacing w:after="200" w:line="276" w:lineRule="auto"/>
      </w:pPr>
      <w:r>
        <w:t>(c) Skipping meals</w:t>
      </w:r>
    </w:p>
    <w:p>
      <w:pPr>
        <w:spacing w:after="200" w:line="276" w:lineRule="auto"/>
      </w:pPr>
      <w:r>
        <w:t>(d) High-salt snacks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Avoiding alcohol and following the prescribed diet</w:t>
      </w:r>
    </w:p>
    <w:p>
      <w:pPr>
        <w:spacing w:after="200" w:line="276" w:lineRule="auto"/>
      </w:pPr>
      <w:r>
        <w:t>🧠 Clinical Rationale: Alcohol abstinence and dietary compliance prevent decompensation.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Taking any herbal remedies — would be appropriate in a different situation, not this one</w:t>
      </w:r>
    </w:p>
    <w:p>
      <w:pPr>
        <w:spacing w:after="200" w:line="276" w:lineRule="auto"/>
      </w:pPr>
      <w:r>
        <w:t>C. Skipping meals — would be appropriate in a different situation, not this one</w:t>
      </w:r>
    </w:p>
    <w:p>
      <w:pPr>
        <w:spacing w:after="200" w:line="276" w:lineRule="auto"/>
      </w:pPr>
      <w:r>
        <w:t>D. High-salt snacks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Hereditary haemochromatosis causes</w:t>
      </w:r>
    </w:p>
    <w:p>
      <w:pPr>
        <w:spacing w:after="200" w:line="276" w:lineRule="auto"/>
      </w:pPr>
      <w:r>
        <w:t>(a) Iron deficiency</w:t>
      </w:r>
    </w:p>
    <w:p>
      <w:pPr>
        <w:spacing w:after="200" w:line="276" w:lineRule="auto"/>
      </w:pPr>
      <w:r>
        <w:t>(b) Iron overload damaging the liver, heart and pancreas</w:t>
      </w:r>
    </w:p>
    <w:p>
      <w:pPr>
        <w:spacing w:after="200" w:line="276" w:lineRule="auto"/>
      </w:pPr>
      <w:r>
        <w:t>(c) Copper excess</w:t>
      </w:r>
    </w:p>
    <w:p>
      <w:pPr>
        <w:spacing w:after="200" w:line="276" w:lineRule="auto"/>
      </w:pPr>
      <w:r>
        <w:t>(d) Zinc deficiency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Iron overload damaging the liver, heart and pancreas</w:t>
      </w:r>
    </w:p>
    <w:p>
      <w:pPr>
        <w:spacing w:after="200" w:line="276" w:lineRule="auto"/>
      </w:pPr>
      <w:r>
        <w:t>🧠 Clinical Rationale: C282Y gene mutations cause excess iron absorption and organ damage.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Iron deficiency — a related concept, but it does not match the defining feature asked</w:t>
      </w:r>
    </w:p>
    <w:p>
      <w:pPr>
        <w:spacing w:after="200" w:line="276" w:lineRule="auto"/>
      </w:pPr>
      <w:r>
        <w:t>C. Copper excess — a related concept, but it does not match the defining feature asked</w:t>
      </w:r>
    </w:p>
    <w:p>
      <w:pPr>
        <w:spacing w:after="200" w:line="276" w:lineRule="auto"/>
      </w:pPr>
      <w:r>
        <w:t>D. Zinc deficiency — a related concept, but it does not match the defining feature asked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suspected food poisoning outbreak is reported to the health authority because it is</w:t>
      </w:r>
    </w:p>
    <w:p>
      <w:pPr>
        <w:spacing w:after="200" w:line="276" w:lineRule="auto"/>
      </w:pPr>
      <w:r>
        <w:t>(a) Optional</w:t>
      </w:r>
    </w:p>
    <w:p>
      <w:pPr>
        <w:spacing w:after="200" w:line="276" w:lineRule="auto"/>
      </w:pPr>
      <w:r>
        <w:t>(b) A public health and medico-legal concern</w:t>
      </w:r>
    </w:p>
    <w:p>
      <w:pPr>
        <w:spacing w:after="200" w:line="276" w:lineRule="auto"/>
      </w:pPr>
      <w:r>
        <w:t>(c) Only a media matter</w:t>
      </w:r>
    </w:p>
    <w:p>
      <w:pPr>
        <w:spacing w:after="200" w:line="276" w:lineRule="auto"/>
      </w:pPr>
      <w:r>
        <w:t>(d) A police case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public health and medico-legal concern</w:t>
      </w:r>
    </w:p>
    <w:p>
      <w:pPr>
        <w:spacing w:after="200" w:line="276" w:lineRule="auto"/>
      </w:pPr>
      <w:r>
        <w:t>🧠 Clinical Rationale: Outbreak reporting triggers investigation, control and prevention.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Optional — a related concept, but it does not match the defining feature asked</w:t>
      </w:r>
    </w:p>
    <w:p>
      <w:pPr>
        <w:spacing w:after="200" w:line="276" w:lineRule="auto"/>
      </w:pPr>
      <w:r>
        <w:t>C. Only a media matter — a related concept, but it does not match the defining feature asked</w:t>
      </w:r>
    </w:p>
    <w:p>
      <w:pPr>
        <w:spacing w:after="200" w:line="276" w:lineRule="auto"/>
      </w:pPr>
      <w:r>
        <w:t>D. A police case always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