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Loss of previously acquired skills (regression) in a child is</w:t>
      </w:r>
    </w:p>
    <w:p>
      <w:pPr>
        <w:spacing w:after="200" w:line="276" w:lineRule="auto"/>
      </w:pPr>
      <w:r>
        <w:t>(a) Always normal</w:t>
      </w:r>
    </w:p>
    <w:p>
      <w:pPr>
        <w:spacing w:after="200" w:line="276" w:lineRule="auto"/>
      </w:pPr>
      <w:r>
        <w:t>(b) A good sign</w:t>
      </w:r>
    </w:p>
    <w:p>
      <w:pPr>
        <w:spacing w:after="200" w:line="276" w:lineRule="auto"/>
      </w:pPr>
      <w:r>
        <w:t>(c) A red flag requiring evaluation</w:t>
      </w:r>
    </w:p>
    <w:p>
      <w:pPr>
        <w:spacing w:after="200" w:line="276" w:lineRule="auto"/>
      </w:pPr>
      <w:r>
        <w:t>(d) Part of growth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red flag requiring evaluation</w:t>
      </w:r>
    </w:p>
    <w:p>
      <w:pPr>
        <w:spacing w:after="200" w:line="276" w:lineRule="auto"/>
      </w:pPr>
      <w:r>
        <w:t>🧠 Clinical Rationale: Regression suggests neurological/metabolic disease — prompt assessment.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Developmental Regression - Red Flag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 red flag requiring evaluation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normal — does not address the immediate life-threatening problem (ABC comes first)</w:t>
      </w:r>
    </w:p>
    <w:p>
      <w:pPr>
        <w:spacing w:after="200" w:line="276" w:lineRule="auto"/>
      </w:pPr>
      <w:r>
        <w:t>B. A good sign — does not address the immediate life-threatening problem (ABC comes first)</w:t>
      </w:r>
    </w:p>
    <w:p>
      <w:pPr>
        <w:spacing w:after="200" w:line="276" w:lineRule="auto"/>
      </w:pPr>
      <w:r>
        <w:t>D. Part of growth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Children with cerebral palsy commonly have</w:t>
      </w:r>
    </w:p>
    <w:p>
      <w:pPr>
        <w:spacing w:after="200" w:line="276" w:lineRule="auto"/>
      </w:pPr>
      <w:r>
        <w:t>(a) Only speech delay</w:t>
      </w:r>
    </w:p>
    <w:p>
      <w:pPr>
        <w:spacing w:after="200" w:line="276" w:lineRule="auto"/>
      </w:pPr>
      <w:r>
        <w:t>(b) No other problems</w:t>
      </w:r>
    </w:p>
    <w:p>
      <w:pPr>
        <w:spacing w:after="200" w:line="276" w:lineRule="auto"/>
      </w:pPr>
      <w:r>
        <w:t>(c) Epilepsy, feeding difficulties and contractures</w:t>
      </w:r>
    </w:p>
    <w:p>
      <w:pPr>
        <w:spacing w:after="200" w:line="276" w:lineRule="auto"/>
      </w:pPr>
      <w:r>
        <w:t>(d) Enhanced mobility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Epilepsy, feeding difficulties and contractures</w:t>
      </w:r>
    </w:p>
    <w:p>
      <w:pPr>
        <w:spacing w:after="200" w:line="276" w:lineRule="auto"/>
      </w:pPr>
      <w:r>
        <w:t>🧠 Clinical Rationale: CP is associated with seizures, dysphagia, spasticity and orthopaedic issues.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speech delay — would be appropriate in a different situation, not this one</w:t>
      </w:r>
    </w:p>
    <w:p>
      <w:pPr>
        <w:spacing w:after="200" w:line="276" w:lineRule="auto"/>
      </w:pPr>
      <w:r>
        <w:t>B. No other problems — would be appropriate in a different situation, not this one</w:t>
      </w:r>
    </w:p>
    <w:p>
      <w:pPr>
        <w:spacing w:after="200" w:line="276" w:lineRule="auto"/>
      </w:pPr>
      <w:r>
        <w:t>D. Enhanced mobility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By 18 months, a red flag for autism is</w:t>
      </w:r>
    </w:p>
    <w:p>
      <w:pPr>
        <w:spacing w:after="200" w:line="276" w:lineRule="auto"/>
      </w:pPr>
      <w:r>
        <w:t>(a) Excessive pointing</w:t>
      </w:r>
    </w:p>
    <w:p>
      <w:pPr>
        <w:spacing w:after="200" w:line="276" w:lineRule="auto"/>
      </w:pPr>
      <w:r>
        <w:t>(b) No pointing or pretend play</w:t>
      </w:r>
    </w:p>
    <w:p>
      <w:pPr>
        <w:spacing w:after="200" w:line="276" w:lineRule="auto"/>
      </w:pPr>
      <w:r>
        <w:t>(c) Good eye contact</w:t>
      </w:r>
    </w:p>
    <w:p>
      <w:pPr>
        <w:spacing w:after="200" w:line="276" w:lineRule="auto"/>
      </w:pPr>
      <w:r>
        <w:t>(d) Fluent speech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 pointing or pretend play</w:t>
      </w:r>
    </w:p>
    <w:p>
      <w:pPr>
        <w:spacing w:after="200" w:line="276" w:lineRule="auto"/>
      </w:pPr>
      <w:r>
        <w:t>🧠 Clinical Rationale: Absent gesturing, imitation and social interest by 18 months warrant autism screening.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18 months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Excessive pointing — does not match the characteristic feature/management described in the stem</w:t>
      </w:r>
    </w:p>
    <w:p>
      <w:pPr>
        <w:spacing w:after="200" w:line="276" w:lineRule="auto"/>
      </w:pPr>
      <w:r>
        <w:t>C. Good eye contact — does not match the characteristic feature/management described in the stem</w:t>
      </w:r>
    </w:p>
    <w:p>
      <w:pPr>
        <w:spacing w:after="200" w:line="276" w:lineRule="auto"/>
      </w:pPr>
      <w:r>
        <w:t>D. Fluent speech — does not match the characteristic feature/management described in the stem</w:t>
      </w:r>
    </w:p>
    <w:p>
      <w:pPr>
        <w:spacing w:after="200" w:line="276" w:lineRule="auto"/>
      </w:pPr>
      <w:r>
        <w:t>⚠️ Exam Trap: Autism care: keep routines and use clear, simple communication — sudden changes and overwhelming stimuli trigger distress.</w:t>
      </w:r>
    </w:p>
    <w:p>
      <w:pPr>
        <w:spacing w:after="200" w:line="276" w:lineRule="auto"/>
      </w:pPr>
      <w:r>
        <w:t>💎 PNC Pearl: Autism: routines, predictability and visual supports reduce distress — sensory sensitivities and communication differences guide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Autism spectrum</w:t>
      </w:r>
    </w:p>
    <w:p>
      <w:pPr>
        <w:spacing w:after="200" w:line="276" w:lineRule="auto"/>
      </w:pPr>
      <w:r>
        <w:t>→ Clues: social-communication difficulty, repetitive behaviours, sensory sensitivities</w:t>
      </w:r>
    </w:p>
    <w:p>
      <w:pPr>
        <w:spacing w:after="200" w:line="276" w:lineRule="auto"/>
      </w:pPr>
      <w:r>
        <w:t>→ Nursing: routine, visual schedules, minimal unexpected stimuli, clear language</w:t>
      </w:r>
    </w:p>
    <w:p>
      <w:pPr>
        <w:spacing w:after="200" w:line="276" w:lineRule="auto"/>
      </w:pPr>
      <w:r>
        <w:t>→ Safety: wandering/elopement risk — supervise and secure environment</w:t>
      </w:r>
    </w:p>
    <w:p>
      <w:pPr>
        <w:spacing w:after="200" w:line="276" w:lineRule="auto"/>
      </w:pPr>
      <w:r>
        <w:t>→ Early intervention and family support improve outcomes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ADHD is characterized by</w:t>
      </w:r>
    </w:p>
    <w:p>
      <w:pPr>
        <w:spacing w:after="200" w:line="276" w:lineRule="auto"/>
      </w:pPr>
      <w:r>
        <w:t>(a) Inattention, hyperactivity and impulsivity inappropriate for age</w:t>
      </w:r>
    </w:p>
    <w:p>
      <w:pPr>
        <w:spacing w:after="200" w:line="276" w:lineRule="auto"/>
      </w:pPr>
      <w:r>
        <w:t>(b) Intellectual disability always</w:t>
      </w:r>
    </w:p>
    <w:p>
      <w:pPr>
        <w:spacing w:after="200" w:line="276" w:lineRule="auto"/>
      </w:pPr>
      <w:r>
        <w:t>(c) Only sleep problems</w:t>
      </w:r>
    </w:p>
    <w:p>
      <w:pPr>
        <w:spacing w:after="200" w:line="276" w:lineRule="auto"/>
      </w:pPr>
      <w:r>
        <w:t>(d) Seizures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Inattention, hyperactivity and impulsivity inappropriate for age</w:t>
      </w:r>
    </w:p>
    <w:p>
      <w:pPr>
        <w:spacing w:after="200" w:line="276" w:lineRule="auto"/>
      </w:pPr>
      <w:r>
        <w:t>🧠 Clinical Rationale: ADHD affects attention, activity and impulse control across settings.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Intellectual disability always — does not match the characteristic feature/management described in the stem</w:t>
      </w:r>
    </w:p>
    <w:p>
      <w:pPr>
        <w:spacing w:after="200" w:line="276" w:lineRule="auto"/>
      </w:pPr>
      <w:r>
        <w:t>C. Only sleep problems — does not match the characteristic feature/management described in the stem</w:t>
      </w:r>
    </w:p>
    <w:p>
      <w:pPr>
        <w:spacing w:after="200" w:line="276" w:lineRule="auto"/>
      </w:pPr>
      <w:r>
        <w:t>D. Seizures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Newborns with Down syndrome are screened for</w:t>
      </w:r>
    </w:p>
    <w:p>
      <w:pPr>
        <w:spacing w:after="200" w:line="276" w:lineRule="auto"/>
      </w:pPr>
      <w:r>
        <w:t>(a) Asthma</w:t>
      </w:r>
    </w:p>
    <w:p>
      <w:pPr>
        <w:spacing w:after="200" w:line="276" w:lineRule="auto"/>
      </w:pPr>
      <w:r>
        <w:t>(b) Renal stones</w:t>
      </w:r>
    </w:p>
    <w:p>
      <w:pPr>
        <w:spacing w:after="200" w:line="276" w:lineRule="auto"/>
      </w:pPr>
      <w:r>
        <w:t>(c) Congenital heart defects (echo)</w:t>
      </w:r>
    </w:p>
    <w:p>
      <w:pPr>
        <w:spacing w:after="200" w:line="276" w:lineRule="auto"/>
      </w:pPr>
      <w:r>
        <w:t>(d) Cataract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Congenital heart defects (echo)</w:t>
      </w:r>
    </w:p>
    <w:p>
      <w:pPr>
        <w:spacing w:after="200" w:line="276" w:lineRule="auto"/>
      </w:pPr>
      <w:r>
        <w:t>🧠 Clinical Rationale: About half of Down syndrome infants have CHD — echocardiography is routine.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— would be appropriate in a different situation, not this one</w:t>
      </w:r>
    </w:p>
    <w:p>
      <w:pPr>
        <w:spacing w:after="200" w:line="276" w:lineRule="auto"/>
      </w:pPr>
      <w:r>
        <w:t>B. Renal stones — would be appropriate in a different situation, not this one</w:t>
      </w:r>
    </w:p>
    <w:p>
      <w:pPr>
        <w:spacing w:after="200" w:line="276" w:lineRule="auto"/>
      </w:pPr>
      <w:r>
        <w:t>D. Cataract only — would be appropriate in a different situation, not this one</w:t>
      </w:r>
    </w:p>
    <w:p>
      <w:pPr>
        <w:spacing w:after="200" w:line="276" w:lineRule="auto"/>
      </w:pPr>
      <w:r>
        <w:t>⚠️ Exam Trap: Atlantoaxial instability in Down syndrome: avoid contact sports and neck hyperextension; cardiac defects are common.</w:t>
      </w:r>
    </w:p>
    <w:p>
      <w:pPr>
        <w:spacing w:after="200" w:line="276" w:lineRule="auto"/>
      </w:pPr>
      <w:r>
        <w:t>💎 PNC Pearl: Down syndrome: hypotonia, cardiac defects and atlantoaxial instability — screen hearing/vision, and avoid neck hyperextension.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types of child abuse include</w:t>
      </w:r>
    </w:p>
    <w:p>
      <w:pPr>
        <w:spacing w:after="200" w:line="276" w:lineRule="auto"/>
      </w:pPr>
      <w:r>
        <w:t>(a) Only physical violence</w:t>
      </w:r>
    </w:p>
    <w:p>
      <w:pPr>
        <w:spacing w:after="200" w:line="276" w:lineRule="auto"/>
      </w:pPr>
      <w:r>
        <w:t>(b) Only school failure</w:t>
      </w:r>
    </w:p>
    <w:p>
      <w:pPr>
        <w:spacing w:after="200" w:line="276" w:lineRule="auto"/>
      </w:pPr>
      <w:r>
        <w:t>(c) Only poverty</w:t>
      </w:r>
    </w:p>
    <w:p>
      <w:pPr>
        <w:spacing w:after="200" w:line="276" w:lineRule="auto"/>
      </w:pPr>
      <w:r>
        <w:t>(d) Physical, sexual, emotional abuse and neglect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Physical, sexual, emotional abuse and neglect</w:t>
      </w:r>
    </w:p>
    <w:p>
      <w:pPr>
        <w:spacing w:after="200" w:line="276" w:lineRule="auto"/>
      </w:pPr>
      <w:r>
        <w:t>🧠 Clinical Rationale: Abuse spans physical, sexual, emotional harm and neglect — all must be reported.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 Abuse - Types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Physical, sexual, emotional abuse and neglect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physical violence — does not address the immediate life-threatening problem (ABC comes first)</w:t>
      </w:r>
    </w:p>
    <w:p>
      <w:pPr>
        <w:spacing w:after="200" w:line="276" w:lineRule="auto"/>
      </w:pPr>
      <w:r>
        <w:t>B. Only school failure — does not address the immediate life-threatening problem (ABC comes first)</w:t>
      </w:r>
    </w:p>
    <w:p>
      <w:pPr>
        <w:spacing w:after="200" w:line="276" w:lineRule="auto"/>
      </w:pPr>
      <w:r>
        <w:t>C. Only poverty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safe oral paracetamol dose for a child is</w:t>
      </w:r>
    </w:p>
    <w:p>
      <w:pPr>
        <w:spacing w:after="200" w:line="276" w:lineRule="auto"/>
      </w:pPr>
      <w:r>
        <w:t>(a) 5 mg/kg once daily</w:t>
      </w:r>
    </w:p>
    <w:p>
      <w:pPr>
        <w:spacing w:after="200" w:line="276" w:lineRule="auto"/>
      </w:pPr>
      <w:r>
        <w:t>(b) 10–15 mg/kg every 4–6 hours (max 75 mg/kg/day)</w:t>
      </w:r>
    </w:p>
    <w:p>
      <w:pPr>
        <w:spacing w:after="200" w:line="276" w:lineRule="auto"/>
      </w:pPr>
      <w:r>
        <w:t>(c) 30 mg/kg hourly</w:t>
      </w:r>
    </w:p>
    <w:p>
      <w:pPr>
        <w:spacing w:after="200" w:line="276" w:lineRule="auto"/>
      </w:pPr>
      <w:r>
        <w:t>(d) Any 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10–15 mg/kg every 4–6 hours (max 75 mg/kg/day)</w:t>
      </w:r>
    </w:p>
    <w:p>
      <w:pPr>
        <w:spacing w:after="200" w:line="276" w:lineRule="auto"/>
      </w:pPr>
      <w:r>
        <w:t>🧠 Clinical Rationale: Weight-based dosing prevents toxicity; never exceed the daily maximum.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mg/kg once daily — not the correct drug/class for this indication</w:t>
      </w:r>
    </w:p>
    <w:p>
      <w:pPr>
        <w:spacing w:after="200" w:line="276" w:lineRule="auto"/>
      </w:pPr>
      <w:r>
        <w:t>C. 30 mg/kg hourly — not the correct drug/class for this indication</w:t>
      </w:r>
    </w:p>
    <w:p>
      <w:pPr>
        <w:spacing w:after="200" w:line="276" w:lineRule="auto"/>
      </w:pPr>
      <w:r>
        <w:t>D. Any dose — not the correct drug/class for this indication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Paracetamol</w:t>
      </w:r>
    </w:p>
    <w:p>
      <w:pPr>
        <w:spacing w:after="200" w:line="276" w:lineRule="auto"/>
      </w:pPr>
      <w:r>
        <w:t>→ Analgesic/antipyretic; max 4 g/day in adults</w:t>
      </w:r>
    </w:p>
    <w:p>
      <w:pPr>
        <w:spacing w:after="200" w:line="276" w:lineRule="auto"/>
      </w:pPr>
      <w:r>
        <w:t>→ Overdose: nausea → then silent → hepatic necrosis</w:t>
      </w:r>
    </w:p>
    <w:p>
      <w:pPr>
        <w:spacing w:after="200" w:line="276" w:lineRule="auto"/>
      </w:pPr>
      <w:r>
        <w:t>→ Antidote: N-acetylcysteine (best within 8–10 h)</w:t>
      </w:r>
    </w:p>
    <w:p>
      <w:pPr>
        <w:spacing w:after="200" w:line="276" w:lineRule="auto"/>
      </w:pPr>
      <w:r>
        <w:t>→ Caution: liver disease, chronic alcohol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Ibuprofen should be avoided in infants under 6 months or those who are</w:t>
      </w:r>
    </w:p>
    <w:p>
      <w:pPr>
        <w:spacing w:after="200" w:line="276" w:lineRule="auto"/>
      </w:pPr>
      <w:r>
        <w:t>(a) Well hydrated</w:t>
      </w:r>
    </w:p>
    <w:p>
      <w:pPr>
        <w:spacing w:after="200" w:line="276" w:lineRule="auto"/>
      </w:pPr>
      <w:r>
        <w:t>(b) Overweight</w:t>
      </w:r>
    </w:p>
    <w:p>
      <w:pPr>
        <w:spacing w:after="200" w:line="276" w:lineRule="auto"/>
      </w:pPr>
      <w:r>
        <w:t>(c) Dehydrated (renal risk)</w:t>
      </w:r>
    </w:p>
    <w:p>
      <w:pPr>
        <w:spacing w:after="200" w:line="276" w:lineRule="auto"/>
      </w:pPr>
      <w:r>
        <w:t>(d) Breastfed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Dehydrated (renal risk)</w:t>
      </w:r>
    </w:p>
    <w:p>
      <w:pPr>
        <w:spacing w:after="200" w:line="276" w:lineRule="auto"/>
      </w:pPr>
      <w:r>
        <w:t>🧠 Clinical Rationale: NSAIDs in dehydrated infants can cause renal injury.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 months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Well hydrated — not the correct drug/class for this indication</w:t>
      </w:r>
    </w:p>
    <w:p>
      <w:pPr>
        <w:spacing w:after="200" w:line="276" w:lineRule="auto"/>
      </w:pPr>
      <w:r>
        <w:t>B. Overweight — not the correct drug/class for this indication</w:t>
      </w:r>
    </w:p>
    <w:p>
      <w:pPr>
        <w:spacing w:after="200" w:line="276" w:lineRule="auto"/>
      </w:pPr>
      <w:r>
        <w:t>D. Breastfed — not the correct drug/class for this indication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home-made sugar-salt solution for diarrhoea uses</w:t>
      </w:r>
    </w:p>
    <w:p>
      <w:pPr>
        <w:spacing w:after="200" w:line="276" w:lineRule="auto"/>
      </w:pPr>
      <w:r>
        <w:t>(a) Salt water only</w:t>
      </w:r>
    </w:p>
    <w:p>
      <w:pPr>
        <w:spacing w:after="200" w:line="276" w:lineRule="auto"/>
      </w:pPr>
      <w:r>
        <w:t>(b) Sugar water only</w:t>
      </w:r>
    </w:p>
    <w:p>
      <w:pPr>
        <w:spacing w:after="200" w:line="276" w:lineRule="auto"/>
      </w:pPr>
      <w:r>
        <w:t>(c) Milk and salt</w:t>
      </w:r>
    </w:p>
    <w:p>
      <w:pPr>
        <w:spacing w:after="200" w:line="276" w:lineRule="auto"/>
      </w:pPr>
      <w:r>
        <w:t>(d) 1 litre clean water + 6 level teaspoons sugar + ½ teaspoon salt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litre clean water + 6 level teaspoons sugar + ½ teaspoon salt</w:t>
      </w:r>
    </w:p>
    <w:p>
      <w:pPr>
        <w:spacing w:after="200" w:line="276" w:lineRule="auto"/>
      </w:pPr>
      <w:r>
        <w:t>🧠 Clinical Rationale: The correct SRO recipe replaces electrolytes lost in diarrhoea.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Salt water only — would be appropriate in a different situation, not this one</w:t>
      </w:r>
    </w:p>
    <w:p>
      <w:pPr>
        <w:spacing w:after="200" w:line="276" w:lineRule="auto"/>
      </w:pPr>
      <w:r>
        <w:t>B. Sugar water only — would be appropriate in a different situation, not this one</w:t>
      </w:r>
    </w:p>
    <w:p>
      <w:pPr>
        <w:spacing w:after="200" w:line="276" w:lineRule="auto"/>
      </w:pPr>
      <w:r>
        <w:t>C. Milk and salt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Paediatric amoxicillin doses are calculated by</w:t>
      </w:r>
    </w:p>
    <w:p>
      <w:pPr>
        <w:spacing w:after="200" w:line="276" w:lineRule="auto"/>
      </w:pPr>
      <w:r>
        <w:t>(a) Age in years only</w:t>
      </w:r>
    </w:p>
    <w:p>
      <w:pPr>
        <w:spacing w:after="200" w:line="276" w:lineRule="auto"/>
      </w:pPr>
      <w:r>
        <w:t>(b) Body weight (mg/kg)</w:t>
      </w:r>
    </w:p>
    <w:p>
      <w:pPr>
        <w:spacing w:after="200" w:line="276" w:lineRule="auto"/>
      </w:pPr>
      <w:r>
        <w:t>(c) Height</w:t>
      </w:r>
    </w:p>
    <w:p>
      <w:pPr>
        <w:spacing w:after="200" w:line="276" w:lineRule="auto"/>
      </w:pPr>
      <w:r>
        <w:t>(d) Appetite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Body weight (mg/kg)</w:t>
      </w:r>
    </w:p>
    <w:p>
      <w:pPr>
        <w:spacing w:after="200" w:line="276" w:lineRule="auto"/>
      </w:pPr>
      <w:r>
        <w:t>🧠 Clinical Rationale: Weight-based dosing ensures efficacy and safety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Age in years only — not the correct drug/class for this indication</w:t>
      </w:r>
    </w:p>
    <w:p>
      <w:pPr>
        <w:spacing w:after="200" w:line="276" w:lineRule="auto"/>
      </w:pPr>
      <w:r>
        <w:t>C. Height — not the correct drug/class for this indication</w:t>
      </w:r>
    </w:p>
    <w:p>
      <w:pPr>
        <w:spacing w:after="200" w:line="276" w:lineRule="auto"/>
      </w:pPr>
      <w:r>
        <w:t>D. Appetite — not the correct drug/class for this indication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Zinc is given with ORS for</w:t>
      </w:r>
    </w:p>
    <w:p>
      <w:pPr>
        <w:spacing w:after="200" w:line="276" w:lineRule="auto"/>
      </w:pPr>
      <w:r>
        <w:t>(a) 1 day</w:t>
      </w:r>
    </w:p>
    <w:p>
      <w:pPr>
        <w:spacing w:after="200" w:line="276" w:lineRule="auto"/>
      </w:pPr>
      <w:r>
        <w:t>(b) 14 days (reduces severity and recurrence)</w:t>
      </w:r>
    </w:p>
    <w:p>
      <w:pPr>
        <w:spacing w:after="200" w:line="276" w:lineRule="auto"/>
      </w:pPr>
      <w:r>
        <w:t>(c) 1 month</w:t>
      </w:r>
    </w:p>
    <w:p>
      <w:pPr>
        <w:spacing w:after="200" w:line="276" w:lineRule="auto"/>
      </w:pPr>
      <w:r>
        <w:t>(d) Not used in diarrhoea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14 days (reduces severity and recurrence)</w:t>
      </w:r>
    </w:p>
    <w:p>
      <w:pPr>
        <w:spacing w:after="200" w:line="276" w:lineRule="auto"/>
      </w:pPr>
      <w:r>
        <w:t>🧠 Clinical Rationale: A 14-day zinc course complements ORS in childhood diarrhoea.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day — would be appropriate in a different situation, not this one</w:t>
      </w:r>
    </w:p>
    <w:p>
      <w:pPr>
        <w:spacing w:after="200" w:line="276" w:lineRule="auto"/>
      </w:pPr>
      <w:r>
        <w:t>C. 1 month — would be appropriate in a different situation, not this one</w:t>
      </w:r>
    </w:p>
    <w:p>
      <w:pPr>
        <w:spacing w:after="200" w:line="276" w:lineRule="auto"/>
      </w:pPr>
      <w:r>
        <w:t>D. Not used in diarrhoea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K is given to newborns as</w:t>
      </w:r>
    </w:p>
    <w:p>
      <w:pPr>
        <w:spacing w:after="200" w:line="276" w:lineRule="auto"/>
      </w:pPr>
      <w:r>
        <w:t>(a) Oral drops only at 1 month</w:t>
      </w:r>
    </w:p>
    <w:p>
      <w:pPr>
        <w:spacing w:after="200" w:line="276" w:lineRule="auto"/>
      </w:pPr>
      <w:r>
        <w:t>(b) IV at 1 week</w:t>
      </w:r>
    </w:p>
    <w:p>
      <w:pPr>
        <w:spacing w:after="200" w:line="276" w:lineRule="auto"/>
      </w:pPr>
      <w:r>
        <w:t>(c) Not needed</w:t>
      </w:r>
    </w:p>
    <w:p>
      <w:pPr>
        <w:spacing w:after="200" w:line="276" w:lineRule="auto"/>
      </w:pPr>
      <w:r>
        <w:t>(d) 1 mg IM at birth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mg IM at birth</w:t>
      </w:r>
    </w:p>
    <w:p>
      <w:pPr>
        <w:spacing w:after="200" w:line="276" w:lineRule="auto"/>
      </w:pPr>
      <w:r>
        <w:t>🧠 Clinical Rationale: IM vitamin K at birth prevents haemorrhagic disease of the newborn.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drops only at 1 month — plausible, but not the single most accurate fact asked</w:t>
      </w:r>
    </w:p>
    <w:p>
      <w:pPr>
        <w:spacing w:after="200" w:line="276" w:lineRule="auto"/>
      </w:pPr>
      <w:r>
        <w:t>B. IV at 1 week — plausible, but not the single most accurate fact asked</w:t>
      </w:r>
    </w:p>
    <w:p>
      <w:pPr>
        <w:spacing w:after="200" w:line="276" w:lineRule="auto"/>
      </w:pPr>
      <w:r>
        <w:t>C. Not needed — plausible, but not the single most accurate fact asked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vitamin D intake for infants is</w:t>
      </w:r>
    </w:p>
    <w:p>
      <w:pPr>
        <w:spacing w:after="200" w:line="276" w:lineRule="auto"/>
      </w:pPr>
      <w:r>
        <w:t>(a) 400 IU/day</w:t>
      </w:r>
    </w:p>
    <w:p>
      <w:pPr>
        <w:spacing w:after="200" w:line="276" w:lineRule="auto"/>
      </w:pPr>
      <w:r>
        <w:t>(b) 40 IU/day</w:t>
      </w:r>
    </w:p>
    <w:p>
      <w:pPr>
        <w:spacing w:after="200" w:line="276" w:lineRule="auto"/>
      </w:pPr>
      <w:r>
        <w:t>(c) 4000 IU/day</w:t>
      </w:r>
    </w:p>
    <w:p>
      <w:pPr>
        <w:spacing w:after="200" w:line="276" w:lineRule="auto"/>
      </w:pPr>
      <w:r>
        <w:t>(d) None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400 IU/day</w:t>
      </w:r>
    </w:p>
    <w:p>
      <w:pPr>
        <w:spacing w:after="200" w:line="276" w:lineRule="auto"/>
      </w:pPr>
      <w:r>
        <w:t>🧠 Clinical Rationale: 400 IU daily prevents rickets in breastfed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 IU/day — plausible, but not the single most accurate fact asked</w:t>
      </w:r>
    </w:p>
    <w:p>
      <w:pPr>
        <w:spacing w:after="200" w:line="276" w:lineRule="auto"/>
      </w:pPr>
      <w:r>
        <w:t>C. 4000 IU/day — plausible, but not the single most accurate fact asked</w:t>
      </w:r>
    </w:p>
    <w:p>
      <w:pPr>
        <w:spacing w:after="200" w:line="276" w:lineRule="auto"/>
      </w:pPr>
      <w:r>
        <w:t>D. None — plausible, but not the single most accurate fact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young child with asthma, salbutamol is best given via</w:t>
      </w:r>
    </w:p>
    <w:p>
      <w:pPr>
        <w:spacing w:after="200" w:line="276" w:lineRule="auto"/>
      </w:pPr>
      <w:r>
        <w:t>(a) A spacer or nebulizer</w:t>
      </w:r>
    </w:p>
    <w:p>
      <w:pPr>
        <w:spacing w:after="200" w:line="276" w:lineRule="auto"/>
      </w:pPr>
      <w:r>
        <w:t>(b) Swallowed tablets</w:t>
      </w:r>
    </w:p>
    <w:p>
      <w:pPr>
        <w:spacing w:after="200" w:line="276" w:lineRule="auto"/>
      </w:pPr>
      <w:r>
        <w:t>(c) Injections routinely</w:t>
      </w:r>
    </w:p>
    <w:p>
      <w:pPr>
        <w:spacing w:after="200" w:line="276" w:lineRule="auto"/>
      </w:pPr>
      <w:r>
        <w:t>(d) Herbal syrup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spacer or nebulizer</w:t>
      </w:r>
    </w:p>
    <w:p>
      <w:pPr>
        <w:spacing w:after="200" w:line="276" w:lineRule="auto"/>
      </w:pPr>
      <w:r>
        <w:t>🧠 Clinical Rationale: Inhaled delivery with a spacer reaches the lungs effectively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Swallowed tablets — would be appropriate in a different situation, not this one</w:t>
      </w:r>
    </w:p>
    <w:p>
      <w:pPr>
        <w:spacing w:after="200" w:line="276" w:lineRule="auto"/>
      </w:pPr>
      <w:r>
        <w:t>C. Injections routinely — would be appropriate in a different situation, not this one</w:t>
      </w:r>
    </w:p>
    <w:p>
      <w:pPr>
        <w:spacing w:after="200" w:line="276" w:lineRule="auto"/>
      </w:pPr>
      <w:r>
        <w:t>D. Herbal syrup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oxygen hood is used for infants because it</w:t>
      </w:r>
    </w:p>
    <w:p>
      <w:pPr>
        <w:spacing w:after="200" w:line="276" w:lineRule="auto"/>
      </w:pPr>
      <w:r>
        <w:t>(a) Cools the baby</w:t>
      </w:r>
    </w:p>
    <w:p>
      <w:pPr>
        <w:spacing w:after="200" w:line="276" w:lineRule="auto"/>
      </w:pPr>
      <w:r>
        <w:t>(b) Feeds the baby</w:t>
      </w:r>
    </w:p>
    <w:p>
      <w:pPr>
        <w:spacing w:after="200" w:line="276" w:lineRule="auto"/>
      </w:pPr>
      <w:r>
        <w:t>(c) Provides controlled oxygen without masks</w:t>
      </w:r>
    </w:p>
    <w:p>
      <w:pPr>
        <w:spacing w:after="200" w:line="276" w:lineRule="auto"/>
      </w:pPr>
      <w:r>
        <w:t>(d) Measures BP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Provides controlled oxygen without masks</w:t>
      </w:r>
    </w:p>
    <w:p>
      <w:pPr>
        <w:spacing w:after="200" w:line="276" w:lineRule="auto"/>
      </w:pPr>
      <w:r>
        <w:t>🧠 Clinical Rationale: Hoods deliver stable FiO2 to neonates needing 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Cools the baby — would be appropriate in a different situation, not this one</w:t>
      </w:r>
    </w:p>
    <w:p>
      <w:pPr>
        <w:spacing w:after="200" w:line="276" w:lineRule="auto"/>
      </w:pPr>
      <w:r>
        <w:t>B. Feeds the baby — would be appropriate in a different situation, not this one</w:t>
      </w:r>
    </w:p>
    <w:p>
      <w:pPr>
        <w:spacing w:after="200" w:line="276" w:lineRule="auto"/>
      </w:pPr>
      <w:r>
        <w:t>D. Measures BP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the Holliday-Segar method, maintenance fluids for a 20 kg child are</w:t>
      </w:r>
    </w:p>
    <w:p>
      <w:pPr>
        <w:spacing w:after="200" w:line="276" w:lineRule="auto"/>
      </w:pPr>
      <w:r>
        <w:t>(a) 1500 mL/day (100 mL/kg for first 10 kg + 50 mL/kg for next 10 kg)</w:t>
      </w:r>
    </w:p>
    <w:p>
      <w:pPr>
        <w:spacing w:after="200" w:line="276" w:lineRule="auto"/>
      </w:pPr>
      <w:r>
        <w:t>(b) 500 mL/day</w:t>
      </w:r>
    </w:p>
    <w:p>
      <w:pPr>
        <w:spacing w:after="200" w:line="276" w:lineRule="auto"/>
      </w:pPr>
      <w:r>
        <w:t>(c) 4000 mL/day</w:t>
      </w:r>
    </w:p>
    <w:p>
      <w:pPr>
        <w:spacing w:after="200" w:line="276" w:lineRule="auto"/>
      </w:pPr>
      <w:r>
        <w:t>(d) 100 mL/day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1500 mL/day (100 mL/kg for first 10 kg + 50 mL/kg for next 10 kg)</w:t>
      </w:r>
    </w:p>
    <w:p>
      <w:pPr>
        <w:spacing w:after="200" w:line="276" w:lineRule="auto"/>
      </w:pPr>
      <w:r>
        <w:t>🧠 Clinical Rationale: Maintenance = 100 mL/kg for 10 kg + 50 mL/kg for 10–20 kg + 20 mL/kg beyond = 1000 + 500 = 1500 mL.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20 kg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500 mL/day — would result from an error in formula or unit conversion</w:t>
      </w:r>
    </w:p>
    <w:p>
      <w:pPr>
        <w:spacing w:after="200" w:line="276" w:lineRule="auto"/>
      </w:pPr>
      <w:r>
        <w:t>C. 4000 mL/day — would result from an error in formula or unit conversion</w:t>
      </w:r>
    </w:p>
    <w:p>
      <w:pPr>
        <w:spacing w:after="200" w:line="276" w:lineRule="auto"/>
      </w:pPr>
      <w:r>
        <w:t>D. 100 mL/day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FLACC scale assesses pain in</w:t>
      </w:r>
    </w:p>
    <w:p>
      <w:pPr>
        <w:spacing w:after="200" w:line="276" w:lineRule="auto"/>
      </w:pPr>
      <w:r>
        <w:t>(a) Children unable to self-report</w:t>
      </w:r>
    </w:p>
    <w:p>
      <w:pPr>
        <w:spacing w:after="200" w:line="276" w:lineRule="auto"/>
      </w:pPr>
      <w:r>
        <w:t>(b) Adults with speech</w:t>
      </w:r>
    </w:p>
    <w:p>
      <w:pPr>
        <w:spacing w:after="200" w:line="276" w:lineRule="auto"/>
      </w:pPr>
      <w:r>
        <w:t>(c) Only newborns</w:t>
      </w:r>
    </w:p>
    <w:p>
      <w:pPr>
        <w:spacing w:after="200" w:line="276" w:lineRule="auto"/>
      </w:pPr>
      <w:r>
        <w:t>(d) Elderly with arthritis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Children unable to self-report</w:t>
      </w:r>
    </w:p>
    <w:p>
      <w:pPr>
        <w:spacing w:after="200" w:line="276" w:lineRule="auto"/>
      </w:pPr>
      <w:r>
        <w:t>🧠 Clinical Rationale: FLACC scores Face, Legs, Activity, Cry, Consolability for preverbal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Adults with speech — would be appropriate in a different situation, not this one</w:t>
      </w:r>
    </w:p>
    <w:p>
      <w:pPr>
        <w:spacing w:after="200" w:line="276" w:lineRule="auto"/>
      </w:pPr>
      <w:r>
        <w:t>C. Only newborns — would be appropriate in a different situation, not this one</w:t>
      </w:r>
    </w:p>
    <w:p>
      <w:pPr>
        <w:spacing w:after="200" w:line="276" w:lineRule="auto"/>
      </w:pPr>
      <w:r>
        <w:t>D. Elderly with arthritis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weighs 8 kg; the ordered drug range is 5–10 mg/kg. The safe single-dose range is</w:t>
      </w:r>
    </w:p>
    <w:p>
      <w:pPr>
        <w:spacing w:after="200" w:line="276" w:lineRule="auto"/>
      </w:pPr>
      <w:r>
        <w:t>(a) 8–16 mg</w:t>
      </w:r>
    </w:p>
    <w:p>
      <w:pPr>
        <w:spacing w:after="200" w:line="276" w:lineRule="auto"/>
      </w:pPr>
      <w:r>
        <w:t>(b) 5–10 mg</w:t>
      </w:r>
    </w:p>
    <w:p>
      <w:pPr>
        <w:spacing w:after="200" w:line="276" w:lineRule="auto"/>
      </w:pPr>
      <w:r>
        <w:t>(c) 80–100 mg</w:t>
      </w:r>
    </w:p>
    <w:p>
      <w:pPr>
        <w:spacing w:after="200" w:line="276" w:lineRule="auto"/>
      </w:pPr>
      <w:r>
        <w:t>(d) 40–80 mg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40–80 mg</w:t>
      </w:r>
    </w:p>
    <w:p>
      <w:pPr>
        <w:spacing w:after="200" w:line="276" w:lineRule="auto"/>
      </w:pPr>
      <w:r>
        <w:t>🧠 Clinical Rationale: 8 kg × 5–10 mg/kg = 40–80 mg per 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8–16 mg — would result from an error in formula or unit conversion</w:t>
      </w:r>
    </w:p>
    <w:p>
      <w:pPr>
        <w:spacing w:after="200" w:line="276" w:lineRule="auto"/>
      </w:pPr>
      <w:r>
        <w:t>B. 5–10 mg — would result from an error in formula or unit conversion</w:t>
      </w:r>
    </w:p>
    <w:p>
      <w:pPr>
        <w:spacing w:after="200" w:line="276" w:lineRule="auto"/>
      </w:pPr>
      <w:r>
        <w:t>C. 80–100 mg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children, the head accounts for a LARGER body surface area than in adults because</w:t>
      </w:r>
    </w:p>
    <w:p>
      <w:pPr>
        <w:spacing w:after="200" w:line="276" w:lineRule="auto"/>
      </w:pPr>
      <w:r>
        <w:t>(a) The legs are larger</w:t>
      </w:r>
    </w:p>
    <w:p>
      <w:pPr>
        <w:spacing w:after="200" w:line="276" w:lineRule="auto"/>
      </w:pPr>
      <w:r>
        <w:t>(b) The head is relatively larger in children</w:t>
      </w:r>
    </w:p>
    <w:p>
      <w:pPr>
        <w:spacing w:after="200" w:line="276" w:lineRule="auto"/>
      </w:pPr>
      <w:r>
        <w:t>(c) The trunk is smaller</w:t>
      </w:r>
    </w:p>
    <w:p>
      <w:pPr>
        <w:spacing w:after="200" w:line="276" w:lineRule="auto"/>
      </w:pPr>
      <w:r>
        <w:t>(d) It is the same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head is relatively larger in children</w:t>
      </w:r>
    </w:p>
    <w:p>
      <w:pPr>
        <w:spacing w:after="200" w:line="276" w:lineRule="auto"/>
      </w:pPr>
      <w:r>
        <w:t>🧠 Clinical Rationale: Children's heads are proportionally larger — modified paediatric burn charts adjust percentages.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The numbers and units in the stem — apply the correct formula step by step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legs are larger — would result from an error in formula or unit conversion</w:t>
      </w:r>
    </w:p>
    <w:p>
      <w:pPr>
        <w:spacing w:after="200" w:line="276" w:lineRule="auto"/>
      </w:pPr>
      <w:r>
        <w:t>C. The trunk is smaller — would result from an error in formula or unit conversion</w:t>
      </w:r>
    </w:p>
    <w:p>
      <w:pPr>
        <w:spacing w:after="200" w:line="276" w:lineRule="auto"/>
      </w:pPr>
      <w:r>
        <w:t>D. It is the same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seriously injured child, the nurse's first priority is</w:t>
      </w:r>
    </w:p>
    <w:p>
      <w:pPr>
        <w:spacing w:after="200" w:line="276" w:lineRule="auto"/>
      </w:pPr>
      <w:r>
        <w:t>(a) Checking the legs</w:t>
      </w:r>
    </w:p>
    <w:p>
      <w:pPr>
        <w:spacing w:after="200" w:line="276" w:lineRule="auto"/>
      </w:pPr>
      <w:r>
        <w:t>(b) Feeding</w:t>
      </w:r>
    </w:p>
    <w:p>
      <w:pPr>
        <w:spacing w:after="200" w:line="276" w:lineRule="auto"/>
      </w:pPr>
      <w:r>
        <w:t>(c) Comforting first</w:t>
      </w:r>
    </w:p>
    <w:p>
      <w:pPr>
        <w:spacing w:after="200" w:line="276" w:lineRule="auto"/>
      </w:pPr>
      <w:r>
        <w:t>(d) Airway with cervical spine protection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 with cervical spine protection</w:t>
      </w:r>
    </w:p>
    <w:p>
      <w:pPr>
        <w:spacing w:after="200" w:line="276" w:lineRule="auto"/>
      </w:pPr>
      <w:r>
        <w:t>🧠 Clinical Rationale: Trauma management begins with airway, breathing and circulation with spine precautions.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Trauma - ABC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Airway with cervical spine protection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Checking the legs — does not address the immediate life-threatening problem (ABC comes first)</w:t>
      </w:r>
    </w:p>
    <w:p>
      <w:pPr>
        <w:spacing w:after="200" w:line="276" w:lineRule="auto"/>
      </w:pPr>
      <w:r>
        <w:t>B. Feeding — does not address the immediate life-threatening problem (ABC comes first)</w:t>
      </w:r>
    </w:p>
    <w:p>
      <w:pPr>
        <w:spacing w:after="200" w:line="276" w:lineRule="auto"/>
      </w:pPr>
      <w:r>
        <w:t>C. Comforting first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