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smallest functional unit of the lung where gas exchange occurs is the</w:t>
      </w:r>
    </w:p>
    <w:p>
      <w:r>
        <w:t xml:space="preserve">(a) Bronchus</w:t>
      </w:r>
    </w:p>
    <w:p>
      <w:r>
        <w:t xml:space="preserve">(b) Trachea</w:t>
      </w:r>
    </w:p>
    <w:p>
      <w:r>
        <w:t xml:space="preserve">(c) Alveolus</w:t>
      </w:r>
    </w:p>
    <w:p>
      <w:r>
        <w:t xml:space="preserve">(d) Pleura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Alveoli are tiny air sacs with thin, richly vascularized walls where oxygen and carbon dioxide diffuse between air and blood — the site of gas exchange.</w:t>
      </w:r>
    </w:p>
    <w:p>
      <w:r>
        <w:t xml:space="preserve">❌ Why Not Other Options?</w:t>
      </w:r>
    </w:p>
    <w:p>
      <w:r>
        <w:t xml:space="preserve">(a) — The bronchi are CONDUCTING airways that only carry air — no gas exchange.</w:t>
      </w:r>
    </w:p>
    <w:p>
      <w:r>
        <w:t xml:space="preserve">(b) — The trachea conducts air from the larynx to the bronchi — no exchange.</w:t>
      </w:r>
    </w:p>
    <w:p>
      <w:r>
        <w:t xml:space="preserve">(d) — The pleura is the membrane covering the lungs, not an exchange unit.</w:t>
      </w:r>
    </w:p>
    <w:p>
      <w:r>
        <w:t xml:space="preserve">⚠️ Exam Trap: "Exchange happens in the alveoli; bronchi and trachea only conduct." Gas-exchange questions always point to the alveolus.</w:t>
      </w:r>
    </w:p>
    <w:p>
      <w:r>
        <w:t xml:space="preserve">💎 PNC Pearl: "Air travels through pipes (trachea, bronchi) but trades gases only in the alveoli."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position used for a lumbar puncture is</w:t>
      </w:r>
    </w:p>
    <w:p>
      <w:r>
        <w:t xml:space="preserve">(a) Supine with the legs extended</w:t>
      </w:r>
    </w:p>
    <w:p>
      <w:r>
        <w:t xml:space="preserve">(b) Left lateral recumbent with the knees drawn up to the chest</w:t>
      </w:r>
    </w:p>
    <w:p>
      <w:r>
        <w:t xml:space="preserve">(c) Prone position</w:t>
      </w:r>
    </w:p>
    <w:p>
      <w:r>
        <w:t xml:space="preserve">(d) Sitting upright with legs dangling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fetal curl — left lateral, knees to chest, chin tucked — widens the intervertebral spaces so the needle enters safely between L3-L4 or L4-L5 (below the cord).</w:t>
      </w:r>
    </w:p>
    <w:p>
      <w:r>
        <w:t xml:space="preserve">❌ Why Not Other Options?</w:t>
      </w:r>
    </w:p>
    <w:p>
      <w:r>
        <w:t xml:space="preserve">(a) — Supine with extended legs does not open the vertebral spaces.</w:t>
      </w:r>
    </w:p>
    <w:p>
      <w:r>
        <w:t xml:space="preserve">(c) — Prone does not provide the required flexion.</w:t>
      </w:r>
    </w:p>
    <w:p>
      <w:r>
        <w:t xml:space="preserve">(d) — Sitting upright can be used in some cases but the lateral flexed position is standard; legs dangling is not a recognized LP position.</w:t>
      </w:r>
    </w:p>
    <w:p>
      <w:r>
        <w:t xml:space="preserve">⚠️ Exam Trap: "LP = fetal curl below the cord level (L3-L4, L4-L5)." The flexed spine is the key to a safe puncture; complications include post-LP headache.</w:t>
      </w:r>
    </w:p>
    <w:p>
      <w:r>
        <w:t xml:space="preserve">💎 PNC Pearl: "Curl like a ball to open the spine — the needle goes below L3 where the cord ends."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pancreatitis should initially be kept</w:t>
      </w:r>
    </w:p>
    <w:p>
      <w:r>
        <w:t xml:space="preserve">(a) NPO (nil by mouth) with nasogastric suction</w:t>
      </w:r>
    </w:p>
    <w:p>
      <w:r>
        <w:t xml:space="preserve">(b) On a high-fat diet</w:t>
      </w:r>
    </w:p>
    <w:p>
      <w:r>
        <w:t xml:space="preserve">(c) On a high-fiber diet</w:t>
      </w:r>
    </w:p>
    <w:p>
      <w:r>
        <w:t xml:space="preserve">(d) Ambulating freely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inflamed pancreas is rested by withholding oral intake and applying NG suction, which reduces stimulation of pancreatic enzyme secretion.</w:t>
      </w:r>
    </w:p>
    <w:p>
      <w:r>
        <w:t xml:space="preserve">❌ Why Not Other Options?</w:t>
      </w:r>
    </w:p>
    <w:p>
      <w:r>
        <w:t xml:space="preserve">(b) — High-fat foods strongly stimulate the pancreas and worsen inflammation.</w:t>
      </w:r>
    </w:p>
    <w:p>
      <w:r>
        <w:t xml:space="preserve">(c) — High-fiber diet is for bowel health, not pancreatic rest.</w:t>
      </w:r>
    </w:p>
    <w:p>
      <w:r>
        <w:t xml:space="preserve">(d) — Free ambulation is limited by severe pain and the need for rest.</w:t>
      </w:r>
    </w:p>
    <w:p>
      <w:r>
        <w:t xml:space="preserve">⚠️ Exam Trap: "Pancreatitis = NPO, NG suction, IV fluids, opioids for pain." Feeding resumes gradually only when pain and amylase/lipase settle.</w:t>
      </w:r>
    </w:p>
    <w:p>
      <w:r>
        <w:t xml:space="preserve">💎 PNC Pearl: "Rest the pancreas: nothing by mouth, suction the stomach, hydrate the veins."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Preeclampsia is defined as the development of hypertension and proteinuria after</w:t>
      </w:r>
    </w:p>
    <w:p>
      <w:r>
        <w:t xml:space="preserve">(a) 12 weeks of gestation</w:t>
      </w:r>
    </w:p>
    <w:p>
      <w:r>
        <w:t xml:space="preserve">(b) 20 weeks of gestation</w:t>
      </w:r>
    </w:p>
    <w:p>
      <w:r>
        <w:t xml:space="preserve">(c) 36 weeks of gestation</w:t>
      </w:r>
    </w:p>
    <w:p>
      <w:r>
        <w:t xml:space="preserve">(d) Delivery only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Preeclampsia is new-onset hypertension (≥140/90 mmHg) with proteinuria occurring after 20 weeks of gestation in a previously normotensive woman.</w:t>
      </w:r>
    </w:p>
    <w:p>
      <w:r>
        <w:t xml:space="preserve">❌ Why Not Other Options?</w:t>
      </w:r>
    </w:p>
    <w:p>
      <w:r>
        <w:t xml:space="preserve">(a) — Before 20 weeks, high BP is usually pre-existing (chronic) hypertension, not preeclampsia.</w:t>
      </w:r>
    </w:p>
    <w:p>
      <w:r>
        <w:t xml:space="preserve">(c) — 36 weeks is late pregnancy; preeclampsia can start at any time after 20 weeks.</w:t>
      </w:r>
    </w:p>
    <w:p>
      <w:r>
        <w:t xml:space="preserve">(d) — Preeclampsia develops during pregnancy, not only after delivery.</w:t>
      </w:r>
    </w:p>
    <w:p>
      <w:r>
        <w:t xml:space="preserve">⚠️ Exam Trap: "Preeclampsia = HTN + proteinuria after 20 weeks; add seizures = eclampsia." The 20-week cut-off is a standard exam fact.</w:t>
      </w:r>
    </w:p>
    <w:p>
      <w:r>
        <w:t xml:space="preserve">💎 PNC Pearl: "20 weeks is the line — HTN before it is chronic, after it (with protein) is preeclampsia."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respiratory rate of a newborn infant is</w:t>
      </w:r>
    </w:p>
    <w:p>
      <w:r>
        <w:t xml:space="preserve">(a) 12-20 breaths per minute</w:t>
      </w:r>
    </w:p>
    <w:p>
      <w:r>
        <w:t xml:space="preserve">(b) 30-60 breaths per minute</w:t>
      </w:r>
    </w:p>
    <w:p>
      <w:r>
        <w:t xml:space="preserve">(c) 70-80 breaths per minute</w:t>
      </w:r>
    </w:p>
    <w:p>
      <w:r>
        <w:t xml:space="preserve">(d) 10-15 breaths per minute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A newborn breathes 30-60 times per minute — faster and more irregular than an adult's 12-20 — because of high metabolic demand and small lung volume.</w:t>
      </w:r>
    </w:p>
    <w:p>
      <w:r>
        <w:t xml:space="preserve">❌ Why Not Other Options?</w:t>
      </w:r>
    </w:p>
    <w:p>
      <w:r>
        <w:t xml:space="preserve">(a) — 12-20 is the ADULT respiratory rate.</w:t>
      </w:r>
    </w:p>
    <w:p>
      <w:r>
        <w:t xml:space="preserve">(c) — 70-80 is tachypnea in a newborn.</w:t>
      </w:r>
    </w:p>
    <w:p>
      <w:r>
        <w:t xml:space="preserve">(d) — 10-15 would be dangerously slow (apnea risk).</w:t>
      </w:r>
    </w:p>
    <w:p>
      <w:r>
        <w:t xml:space="preserve">⚠️ Exam Trap: "Newborn RR 30-60, newborn HR 120-160" — memorize the pair; they anchor most pediatric vital-sign questions.</w:t>
      </w:r>
    </w:p>
    <w:p>
      <w:r>
        <w:t xml:space="preserve">💎 PNC Pearl: "Newborns breathe fast (30-60) and their hearts beat fast (120-160) — small body, big engine."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earliest cognitive change in a patient with dementia is usually</w:t>
      </w:r>
    </w:p>
    <w:p>
      <w:r>
        <w:t xml:space="preserve">(a) Loss of recent memory</w:t>
      </w:r>
    </w:p>
    <w:p>
      <w:r>
        <w:t xml:space="preserve">(b) Loss of long-term memory only</w:t>
      </w:r>
    </w:p>
    <w:p>
      <w:r>
        <w:t xml:space="preserve">(c) Impaired vision</w:t>
      </w:r>
    </w:p>
    <w:p>
      <w:r>
        <w:t xml:space="preserve">(d) Loss of hearing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Dementia typically begins with difficulty remembering recent events — names, appointments, where items were placed — while remote memories are preserved until later stages.</w:t>
      </w:r>
    </w:p>
    <w:p>
      <w:r>
        <w:t xml:space="preserve">❌ Why Not Other Options?</w:t>
      </w:r>
    </w:p>
    <w:p>
      <w:r>
        <w:t xml:space="preserve">(b) — Long-term memory loss occurs late, not first.</w:t>
      </w:r>
    </w:p>
    <w:p>
      <w:r>
        <w:t xml:space="preserve">(c) — Impaired vision is a sensory change, not an early cognitive sign.</w:t>
      </w:r>
    </w:p>
    <w:p>
      <w:r>
        <w:t xml:space="preserve">(d) — Hearing loss is sensory, not the earliest cognitive change of dementia.</w:t>
      </w:r>
    </w:p>
    <w:p>
      <w:r>
        <w:t xml:space="preserve">⚠️ Exam Trap: Dementia vs delirium — "dementia: recent memory first, insidious onset, alert; delirium: acute onset, fluctuating consciousness, attention problems."</w:t>
      </w:r>
    </w:p>
    <w:p>
      <w:r>
        <w:t xml:space="preserve">💎 PNC Pearl: "In dementia, the newest memories fade first, the oldest last."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treatment strategy used in the National Tuberculosis Elimination Programme for ensuring drug compliance is</w:t>
      </w:r>
    </w:p>
    <w:p>
      <w:r>
        <w:t xml:space="preserve">(a) Directly Observed Treatment (DOT)</w:t>
      </w:r>
    </w:p>
    <w:p>
      <w:r>
        <w:t xml:space="preserve">(b) Self-administered antibiotics</w:t>
      </w:r>
    </w:p>
    <w:p>
      <w:r>
        <w:t xml:space="preserve">(c) Herbal therapy</w:t>
      </w:r>
    </w:p>
    <w:p>
      <w:r>
        <w:t xml:space="preserve">(d) Monthly injections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DOT means a health worker watches the patient swallow every anti-TB dose — ensuring adherence and preventing drug resistance.</w:t>
      </w:r>
    </w:p>
    <w:p>
      <w:r>
        <w:t xml:space="preserve">❌ Why Not Other Options?</w:t>
      </w:r>
    </w:p>
    <w:p>
      <w:r>
        <w:t xml:space="preserve">(b) — Self-administered pills risk missed doses and default.</w:t>
      </w:r>
    </w:p>
    <w:p>
      <w:r>
        <w:t xml:space="preserve">(c) — Herbal therapy has no role in curing TB.</w:t>
      </w:r>
    </w:p>
    <w:p>
      <w:r>
        <w:t xml:space="preserve">(d) — Monthly injections are not the TB treatment model.</w:t>
      </w:r>
    </w:p>
    <w:p>
      <w:r>
        <w:t xml:space="preserve">⚠️ Exam Trap: "DOTS = directly observed treatment, short-course." The 'observed' part is what makes it work — no observation, no cure guarantee.</w:t>
      </w:r>
    </w:p>
    <w:p>
      <w:r>
        <w:t xml:space="preserve">💎 PNC Pearl: "Watch them swallow — DOT is the cure's bodyguard against resistance."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common adverse effect of the antidiabetic drug metformin is</w:t>
      </w:r>
    </w:p>
    <w:p>
      <w:r>
        <w:t xml:space="preserve">(a) Gastrointestinal upset and diarrhea</w:t>
      </w:r>
    </w:p>
    <w:p>
      <w:r>
        <w:t xml:space="preserve">(b) Tinnitus</w:t>
      </w:r>
    </w:p>
    <w:p>
      <w:r>
        <w:t xml:space="preserve">(c) Alopecia</w:t>
      </w:r>
    </w:p>
    <w:p>
      <w:r>
        <w:t xml:space="preserve">(d) Photosensitivity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Metformin commonly causes nausea, diarrhea, and a metallic taste — usually settling with time or by taking it with meals.</w:t>
      </w:r>
    </w:p>
    <w:p>
      <w:r>
        <w:t xml:space="preserve">❌ Why Not Other Options?</w:t>
      </w:r>
    </w:p>
    <w:p>
      <w:r>
        <w:t xml:space="preserve">(b) — Tinnitus is not a metformin effect (think aminoglycosides/aspirin).</w:t>
      </w:r>
    </w:p>
    <w:p>
      <w:r>
        <w:t xml:space="preserve">(c) — Hair loss is not a metformin adverse effect.</w:t>
      </w:r>
    </w:p>
    <w:p>
      <w:r>
        <w:t xml:space="preserve">(d) — Photosensitivity is not typical of metformin.</w:t>
      </w:r>
    </w:p>
    <w:p>
      <w:r>
        <w:t xml:space="preserve">⚠️ Exam Trap: "Metformin = GI upset; the rare serious risk is lactic acidosis." It is held during contrast studies and severe illness (renal risk).</w:t>
      </w:r>
    </w:p>
    <w:p>
      <w:r>
        <w:t xml:space="preserve">💎 PNC Pearl: "Metformin's belly rumble is common; lactic acidosis is rare but fatal — hold it in sick kidneys."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anaphylaxis, adrenaline (epinephrine) is administered by which route?</w:t>
      </w:r>
    </w:p>
    <w:p>
      <w:r>
        <w:t xml:space="preserve">(a) Intramuscular injection in the mid-outer thigh</w:t>
      </w:r>
    </w:p>
    <w:p>
      <w:r>
        <w:t xml:space="preserve">(b) Oral tablets</w:t>
      </w:r>
    </w:p>
    <w:p>
      <w:r>
        <w:t xml:space="preserve">(c) Subcutaneous in the abdomen only</w:t>
      </w:r>
    </w:p>
    <w:p>
      <w:r>
        <w:t xml:space="preserve">(d) Topical application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IM adrenaline in the anterolateral thigh (0.01 mg/kg, max 0.5 mg) is the first-line treatment — the muscle absorbs it rapidly for a fast systemic effect.</w:t>
      </w:r>
    </w:p>
    <w:p>
      <w:r>
        <w:t xml:space="preserve">❌ Why Not Other Options?</w:t>
      </w:r>
    </w:p>
    <w:p>
      <w:r>
        <w:t xml:space="preserve">(b) — Oral adrenaline is destroyed in the gut and acts too slowly.</w:t>
      </w:r>
    </w:p>
    <w:p>
      <w:r>
        <w:t xml:space="preserve">(c) — Subcutaneous absorption is slower than IM in shock (poor skin perfusion).</w:t>
      </w:r>
    </w:p>
    <w:p>
      <w:r>
        <w:t xml:space="preserve">(d) — Topical application has no systemic effect.</w:t>
      </w:r>
    </w:p>
    <w:p>
      <w:r>
        <w:t xml:space="preserve">⚠️ Exam Trap: "Anaphylaxis → IM adrenaline in the outer thigh, FIRST." Antihistamines and steroids are second-line — adrenaline is always first.</w:t>
      </w:r>
    </w:p>
    <w:p>
      <w:r>
        <w:t xml:space="preserve">💎 PNC Pearl: "Adrenaline first, IM, outer thigh — the only drug that reverses anaphylaxis fast enough."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fungal opportunistic infection in patients with HIV/AIDS is</w:t>
      </w:r>
    </w:p>
    <w:p>
      <w:r>
        <w:t xml:space="preserve">(a) Candidiasis</w:t>
      </w:r>
    </w:p>
    <w:p>
      <w:r>
        <w:t xml:space="preserve">(b) Malaria</w:t>
      </w:r>
    </w:p>
    <w:p>
      <w:r>
        <w:t xml:space="preserve">(c) Typhoid</w:t>
      </w:r>
    </w:p>
    <w:p>
      <w:r>
        <w:t xml:space="preserve">(d) Tetanus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Oral and esophageal candidiasis is the most common fungal opportunistic infection in HIV, appearing as immunity falls.</w:t>
      </w:r>
    </w:p>
    <w:p>
      <w:r>
        <w:t xml:space="preserve">❌ Why Not Other Options?</w:t>
      </w:r>
    </w:p>
    <w:p>
      <w:r>
        <w:t xml:space="preserve">(b) — Malaria is parasitic, not fungal.</w:t>
      </w:r>
    </w:p>
    <w:p>
      <w:r>
        <w:t xml:space="preserve">(c) — Typhoid is bacterial.</w:t>
      </w:r>
    </w:p>
    <w:p>
      <w:r>
        <w:t xml:space="preserve">(d) — Tetanus is bacterial.</w:t>
      </w:r>
    </w:p>
    <w:p>
      <w:r>
        <w:t xml:space="preserve">⚠️ Exam Trap: HIV fungal trio — "candidiasis (most common), cryptococcal meningitis, and Pneumocystis jirovecii pneumonia (PJP)." Know which are fungal vs viral vs bacterial.</w:t>
      </w:r>
    </w:p>
    <w:p>
      <w:r>
        <w:t xml:space="preserve">💎 PNC Pearl: "Candida, Cryptococcus, Pneumocystis — the fungal trio that hunts fallen immunity."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on hemodialysis for chronic kidney disease should limit intake of</w:t>
      </w:r>
    </w:p>
    <w:p>
      <w:r>
        <w:t xml:space="preserve">(a) Potassium-rich foods such as bananas and oranges</w:t>
      </w:r>
    </w:p>
    <w:p>
      <w:r>
        <w:t xml:space="preserve">(b) Bread and cereals</w:t>
      </w:r>
    </w:p>
    <w:p>
      <w:r>
        <w:t xml:space="preserve">(c) Green leafy vegetables only</w:t>
      </w:r>
    </w:p>
    <w:p>
      <w:r>
        <w:t xml:space="preserve">(d) Boiled rice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Hyperkalemia is a dangerous complication of CKD — it can cause lethal cardiac arrhythmias — so potassium-rich foods (bananas, oranges, tomatoes, potatoes) are restricted between dialysis sessions.</w:t>
      </w:r>
    </w:p>
    <w:p>
      <w:r>
        <w:t xml:space="preserve">❌ Why Not Other Options?</w:t>
      </w:r>
    </w:p>
    <w:p>
      <w:r>
        <w:t xml:space="preserve">(b) — Bread and cereals provide calories without high potassium.</w:t>
      </w:r>
    </w:p>
    <w:p>
      <w:r>
        <w:t xml:space="preserve">(c) — Leafy greens are high in potassium too, but the restriction is not limited to them.</w:t>
      </w:r>
    </w:p>
    <w:p>
      <w:r>
        <w:t xml:space="preserve">(d) — Boiled rice is low in potassium and generally allowed.</w:t>
      </w:r>
    </w:p>
    <w:p>
      <w:r>
        <w:t xml:space="preserve">⚠️ Exam Trap: "CKD diet = low K, low Na, low P, moderate-low protein." Bananas and oranges are the classic high-potassium foods to avoid.</w:t>
      </w:r>
    </w:p>
    <w:p>
      <w:r>
        <w:t xml:space="preserve">💎 PNC Pearl: "CKD: skip the banana and orange — potassium is the silent arrhythmia killer."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develops sudden, crushing chest pain with diaphoresis. The nurse's FIRST action is to</w:t>
      </w:r>
    </w:p>
    <w:p>
      <w:r>
        <w:t xml:space="preserve">(a) Ambulate the patient to relieve the pain</w:t>
      </w:r>
    </w:p>
    <w:p>
      <w:r>
        <w:t xml:space="preserve">(b) Place the patient on bed rest, start oxygen and obtain a 12-lead ECG</w:t>
      </w:r>
    </w:p>
    <w:p>
      <w:r>
        <w:t xml:space="preserve">(c) Give a heavy meal</w:t>
      </w:r>
    </w:p>
    <w:p>
      <w:r>
        <w:t xml:space="preserve">(d) Wait for the pain to subside on its own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Crushing chest pain with sweating suggests acute MI — the nurse immediately puts the patient on bed rest, gives oxygen, monitors, and obtains a 12-lead ECG, then prepares aspirin, nitroglycerin, and medical review.</w:t>
      </w:r>
    </w:p>
    <w:p>
      <w:r>
        <w:t xml:space="preserve">❌ Why Not Other Options?</w:t>
      </w:r>
    </w:p>
    <w:p>
      <w:r>
        <w:t xml:space="preserve">(a) — Ambulation increases cardiac workload and can precipitate arrest.</w:t>
      </w:r>
    </w:p>
    <w:p>
      <w:r>
        <w:t xml:space="preserve">(c) — Feeding increases myocardial oxygen demand.</w:t>
      </w:r>
    </w:p>
    <w:p>
      <w:r>
        <w:t xml:space="preserve">(d) — Waiting risks cardiac arrest — time is myocardium.</w:t>
      </w:r>
    </w:p>
    <w:p>
      <w:r>
        <w:t xml:space="preserve">⚠️ Exam Trap: "MI first actions = REST, oxygen, ECG, aspirin, nitroglycerin." The door-to-ECG target is within 10 minutes.</w:t>
      </w:r>
    </w:p>
    <w:p>
      <w:r>
        <w:t xml:space="preserve">💎 PNC Pearl: "Chest pain + sweat = MI until proven otherwise — rest, oxygen, ECG fast."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Glasgow Coma Scale (GCS) assesses</w:t>
      </w:r>
    </w:p>
    <w:p>
      <w:r>
        <w:t xml:space="preserve">(a) Eye opening, verbal response and motor response</w:t>
      </w:r>
    </w:p>
    <w:p>
      <w:r>
        <w:t xml:space="preserve">(b) Pulse, respiration and blood pressure</w:t>
      </w:r>
    </w:p>
    <w:p>
      <w:r>
        <w:t xml:space="preserve">(c) Weight, height and temperature</w:t>
      </w:r>
    </w:p>
    <w:p>
      <w:r>
        <w:t xml:space="preserve">(d) Hearing, vision and smell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GCS scores eye opening (1-4), verbal response (1-5), and motor response (1-6), totaling 3-15 — 15 is fully conscious and 8 or less indicates coma.</w:t>
      </w:r>
    </w:p>
    <w:p>
      <w:r>
        <w:t xml:space="preserve">❌ Why Not Other Options?</w:t>
      </w:r>
    </w:p>
    <w:p>
      <w:r>
        <w:t xml:space="preserve">(b) — Vital signs are a separate assessment, not part of the GCS.</w:t>
      </w:r>
    </w:p>
    <w:p>
      <w:r>
        <w:t xml:space="preserve">(c) — Body measurements are not neurologic.</w:t>
      </w:r>
    </w:p>
    <w:p>
      <w:r>
        <w:t xml:space="preserve">(d) — The special senses are not scored on the GCS.</w:t>
      </w:r>
    </w:p>
    <w:p>
      <w:r>
        <w:t xml:space="preserve">⚠️ Exam Trap: "GCS = Eyes (4) + Verbal (5) + Motor (6) = 15; coma = 8 or less" — the 4-5-6 breakdown is a favourite number set.</w:t>
      </w:r>
    </w:p>
    <w:p>
      <w:r>
        <w:t xml:space="preserve">💎 PNC Pearl: "Eyes 4, Verbal 5, Motor 6 — under 9 means coma and airway protection."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vertex presentation, the presenting part of the fetus is the</w:t>
      </w:r>
    </w:p>
    <w:p>
      <w:r>
        <w:t xml:space="preserve">(a) Brow</w:t>
      </w:r>
    </w:p>
    <w:p>
      <w:r>
        <w:t xml:space="preserve">(b) Face</w:t>
      </w:r>
    </w:p>
    <w:p>
      <w:r>
        <w:t xml:space="preserve">(c) Occiput</w:t>
      </w:r>
    </w:p>
    <w:p>
      <w:r>
        <w:t xml:space="preserve">(d) Shoulder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In a vertex (cephalic) presentation — the most common and most favorable — the occiput is the presenting part that engages the pelvis.</w:t>
      </w:r>
    </w:p>
    <w:p>
      <w:r>
        <w:t xml:space="preserve">❌ Why Not Other Options?</w:t>
      </w:r>
    </w:p>
    <w:p>
      <w:r>
        <w:t xml:space="preserve">(a) — Brow presentation is an abnormal, extended-head presentation.</w:t>
      </w:r>
    </w:p>
    <w:p>
      <w:r>
        <w:t xml:space="preserve">(b) — Face presentation is abnormal and complicates delivery.</w:t>
      </w:r>
    </w:p>
    <w:p>
      <w:r>
        <w:t xml:space="preserve">(d) — Shoulder presentation is a transverse lie, an obstetric emergency.</w:t>
      </w:r>
    </w:p>
    <w:p>
      <w:r>
        <w:t xml:space="preserve">⚠️ Exam Trap: "Vertex = occiput first; the best position is LOA (left occiput anterior)" — the answer for most 'most favourable position' questions.</w:t>
      </w:r>
    </w:p>
    <w:p>
      <w:r>
        <w:t xml:space="preserve">💎 PNC Pearl: "Vertex means the occiput leads — LOA is the champion position."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Breastfeeding should ideally be initiated</w:t>
      </w:r>
    </w:p>
    <w:p>
      <w:r>
        <w:t xml:space="preserve">(a) Within 1 hour of birth</w:t>
      </w:r>
    </w:p>
    <w:p>
      <w:r>
        <w:t xml:space="preserve">(b) After 24 hours of birth</w:t>
      </w:r>
    </w:p>
    <w:p>
      <w:r>
        <w:t xml:space="preserve">(c) On the third day</w:t>
      </w:r>
    </w:p>
    <w:p>
      <w:r>
        <w:t xml:space="preserve">(d) After the first week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Initiating breastfeeding within the first hour delivers colostrum — the baby's first immunization — promotes bonding, and stimulates milk production.</w:t>
      </w:r>
    </w:p>
    <w:p>
      <w:r>
        <w:t xml:space="preserve">❌ Why Not Other Options?</w:t>
      </w:r>
    </w:p>
    <w:p>
      <w:r>
        <w:t xml:space="preserve">(b) — Delaying to 24 hours loses the colostrum and bonding benefits.</w:t>
      </w:r>
    </w:p>
    <w:p>
      <w:r>
        <w:t xml:space="preserve">(c) — The third day is far too late — milk supply is already being established.</w:t>
      </w:r>
    </w:p>
    <w:p>
      <w:r>
        <w:t xml:space="preserve">(d) — After the first week misses the critical window entirely.</w:t>
      </w:r>
    </w:p>
    <w:p>
      <w:r>
        <w:t xml:space="preserve">⚠️ Exam Trap: The WHO feeding timeline — "initiate within 1 hour, exclusive breastfeeding for 6 months, complementary feeding from 6 months, continue up to 2 years."</w:t>
      </w:r>
    </w:p>
    <w:p>
      <w:r>
        <w:t xml:space="preserve">💎 PNC Pearl: "First hour = first feed. Colostrum is the baby's first vaccine."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WHO classification, a child with weight-for-height below minus 3 standard deviations has</w:t>
      </w:r>
    </w:p>
    <w:p>
      <w:r>
        <w:t xml:space="preserve">(a) Severe acute malnutrition (SAM)</w:t>
      </w:r>
    </w:p>
    <w:p>
      <w:r>
        <w:t xml:space="preserve">(b) Overweight</w:t>
      </w:r>
    </w:p>
    <w:p>
      <w:r>
        <w:t xml:space="preserve">(c) Normal nutrition</w:t>
      </w:r>
    </w:p>
    <w:p>
      <w:r>
        <w:t xml:space="preserve">(d) Rickets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SAM is defined as weight-for-height below -3 SD (or MUAC below 11.5 cm, or bilateral pitting edema); moderate acute malnutrition is -2 to -3 SD.</w:t>
      </w:r>
    </w:p>
    <w:p>
      <w:r>
        <w:t xml:space="preserve">❌ Why Not Other Options?</w:t>
      </w:r>
    </w:p>
    <w:p>
      <w:r>
        <w:t xml:space="preserve">(b) — Overweight is weight-for-height above +2 SD.</w:t>
      </w:r>
    </w:p>
    <w:p>
      <w:r>
        <w:t xml:space="preserve">(c) — Normal nutrition is roughly -2 to +2 SD.</w:t>
      </w:r>
    </w:p>
    <w:p>
      <w:r>
        <w:t xml:space="preserve">(d) — Rickets is vitamin D deficiency with bony deformities — a different condition.</w:t>
      </w:r>
    </w:p>
    <w:p>
      <w:r>
        <w:t xml:space="preserve">⚠️ Exam Trap: SAM markers — "WHZ &lt; -3 SD, MUAC &lt; 11.5 cm, or pitting edema." Remember the MUAC numbers: 11.5 (SAM) and 12.5 (MAM).</w:t>
      </w:r>
    </w:p>
    <w:p>
      <w:r>
        <w:t xml:space="preserve">💎 PNC Pearl: "MUAC under 11.5 or weight-for-height under -3 SD = SAM — the red zone of malnutrition."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antidote for paracetamol (acetaminophen) overdose is</w:t>
      </w:r>
    </w:p>
    <w:p>
      <w:r>
        <w:t xml:space="preserve">(a) N-acetylcysteine</w:t>
      </w:r>
    </w:p>
    <w:p>
      <w:r>
        <w:t xml:space="preserve">(b) Atropine</w:t>
      </w:r>
    </w:p>
    <w:p>
      <w:r>
        <w:t xml:space="preserve">(c) Protamine sulfate</w:t>
      </w:r>
    </w:p>
    <w:p>
      <w:r>
        <w:t xml:space="preserve">(d) Flumazenil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N-acetylcysteine replenishes glutathione and prevents the hepatotoxicity of paracetamol overdose — most effective within 8-10 hours of ingestion.</w:t>
      </w:r>
    </w:p>
    <w:p>
      <w:r>
        <w:t xml:space="preserve">❌ Why Not Other Options?</w:t>
      </w:r>
    </w:p>
    <w:p>
      <w:r>
        <w:t xml:space="preserve">(b) — Atropine treats organophosphate poisoning and bradycardia.</w:t>
      </w:r>
    </w:p>
    <w:p>
      <w:r>
        <w:t xml:space="preserve">(c) — Protamine reverses HEPARIN.</w:t>
      </w:r>
    </w:p>
    <w:p>
      <w:r>
        <w:t xml:space="preserve">(d) — Flumazenil reverses benzodiazepines.</w:t>
      </w:r>
    </w:p>
    <w:p>
      <w:r>
        <w:t xml:space="preserve">⚠️ Exam Trap: The antidote table is repeated across exams — "paracetamol → acetylcysteine; opioids → naloxone; benzos → flumazenil; heparin → protamine; warfarin → vitamin K."</w:t>
      </w:r>
    </w:p>
    <w:p>
      <w:r>
        <w:t xml:space="preserve">💎 PNC Pearl: "Paracetamol → acetylcysteine within 8-10 hours — the liver's rescue team."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range of arterial carbon dioxide (PaCO2) is</w:t>
      </w:r>
    </w:p>
    <w:p>
      <w:r>
        <w:t xml:space="preserve">(a) 10-20 mmHg</w:t>
      </w:r>
    </w:p>
    <w:p>
      <w:r>
        <w:t xml:space="preserve">(b) 35-45 mmHg</w:t>
      </w:r>
    </w:p>
    <w:p>
      <w:r>
        <w:t xml:space="preserve">(c) 60-80 mmHg</w:t>
      </w:r>
    </w:p>
    <w:p>
      <w:r>
        <w:t xml:space="preserve">(d) 90-110 mmHg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Normal PaCO2 is 35-45 mmHg — the respiratory parameter of the arterial blood gas. Above 45 mmHg = respiratory acidosis (hypoventilation); below 35 mmHg = respiratory alkalosis (hyperventilation).</w:t>
      </w:r>
    </w:p>
    <w:p>
      <w:r>
        <w:t xml:space="preserve">❌ Why Not Other Options?</w:t>
      </w:r>
    </w:p>
    <w:p>
      <w:r>
        <w:t xml:space="preserve">(a) — 10-20 mmHg is severe hypocapnia (marked hyperventilation).</w:t>
      </w:r>
    </w:p>
    <w:p>
      <w:r>
        <w:t xml:space="preserve">(c) — 60-80 mmHg indicates significant CO2 retention.</w:t>
      </w:r>
    </w:p>
    <w:p>
      <w:r>
        <w:t xml:space="preserve">(d) — 90-110 mmHg is extreme hypercapnia — near CO2 narcosis.</w:t>
      </w:r>
    </w:p>
    <w:p>
      <w:r>
        <w:t xml:space="preserve">⚠️ Exam Trap: The ABG anchors — "pH 7.35-7.45, PaCO2 35-45, HCO3 22-26." PaCO2 is the respiratory side, HCO3 the metabolic side.</w:t>
      </w:r>
    </w:p>
    <w:p>
      <w:r>
        <w:t xml:space="preserve">💎 PNC Pearl: "PaCO2 35-45 — the lungs' report card; high = not blowing off, low = over-breathing."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daily calorie intake for an adult Indian male doing light work (ICMR) is approximately</w:t>
      </w:r>
    </w:p>
    <w:p>
      <w:r>
        <w:t xml:space="preserve">(a) 1800 kcal</w:t>
      </w:r>
    </w:p>
    <w:p>
      <w:r>
        <w:t xml:space="preserve">(b) 2300 kcal</w:t>
      </w:r>
    </w:p>
    <w:p>
      <w:r>
        <w:t xml:space="preserve">(c) 3000 kcal</w:t>
      </w:r>
    </w:p>
    <w:p>
      <w:r>
        <w:t xml:space="preserve">(d) 4000 kcal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ICMR recommends about 2320 kcal/day for a sedentary/light-work adult male and about 1900 kcal for a female; needs rise with activity, pregnancy, and lactation.</w:t>
      </w:r>
    </w:p>
    <w:p>
      <w:r>
        <w:t xml:space="preserve">❌ Why Not Other Options?</w:t>
      </w:r>
    </w:p>
    <w:p>
      <w:r>
        <w:t xml:space="preserve">(a) — 1800 kcal suits a sedentary female, not an adult male.</w:t>
      </w:r>
    </w:p>
    <w:p>
      <w:r>
        <w:t xml:space="preserve">(c) — 3000 kcal suits moderate-heavy work.</w:t>
      </w:r>
    </w:p>
    <w:p>
      <w:r>
        <w:t xml:space="preserve">(d) — 4000 kcal suits very heavy manual work only.</w:t>
      </w:r>
    </w:p>
    <w:p>
      <w:r>
        <w:t xml:space="preserve">⚠️ Exam Trap: "Adult male ~2300 kcal, female ~1900 kcal." Pregnancy adds about +350 kcal/day and lactation +450-550 kcal/day.</w:t>
      </w:r>
    </w:p>
    <w:p>
      <w:r>
        <w:t xml:space="preserve">💎 PNC Pearl: "Male 2300, female 1900 — add 350 for pregnancy, 500 for breastfeeding."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Before administering any medication, the nurse should confirm the patient's identity using</w:t>
      </w:r>
    </w:p>
    <w:p>
      <w:r>
        <w:t xml:space="preserve">(a) Two patient identifiers, such as name and date of birth</w:t>
      </w:r>
    </w:p>
    <w:p>
      <w:r>
        <w:t xml:space="preserve">(b) The bed number only</w:t>
      </w:r>
    </w:p>
    <w:p>
      <w:r>
        <w:t xml:space="preserve">(c) The patient's appearance only</w:t>
      </w:r>
    </w:p>
    <w:p>
      <w:r>
        <w:t xml:space="preserve">(d) The medication chart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Two independent identifiers — name, date of birth, or hospital ID number — are checked against the medication record before every dose, per patient-safety standards.</w:t>
      </w:r>
    </w:p>
    <w:p>
      <w:r>
        <w:t xml:space="preserve">❌ Why Not Other Options?</w:t>
      </w:r>
    </w:p>
    <w:p>
      <w:r>
        <w:t xml:space="preserve">(b) — Bed numbers are unreliable because patients move.</w:t>
      </w:r>
    </w:p>
    <w:p>
      <w:r>
        <w:t xml:space="preserve">(c) — Appearance alone cannot identify a patient reliably.</w:t>
      </w:r>
    </w:p>
    <w:p>
      <w:r>
        <w:t xml:space="preserve">(d) — The medication chart alone is not an identity check.</w:t>
      </w:r>
    </w:p>
    <w:p>
      <w:r>
        <w:t xml:space="preserve">⚠️ Exam Trap: "Two identifiers = name + DOB/ID; never use the bed number" — a standard patient-safety rule.</w:t>
      </w:r>
    </w:p>
    <w:p>
      <w:r>
        <w:t xml:space="preserve">💎 PNC Pearl: "Ask the name, check the DOB — the bed number is not the patient."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