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with a fractured femur suddenly develops dyspnea, chest pain and confusion 48 hours after injury. Which complication should the nurse suspect FIRST?</w:t>
      </w:r>
    </w:p>
    <w:p>
      <w:pPr>
        <w:spacing w:after="0" w:before="0"/>
      </w:pPr>
      <w:r>
        <w:rPr>
          <w:b w:val="0"/>
          <w:sz w:val="22"/>
        </w:rPr>
        <w:t>(a) Pulmonary embolism</w:t>
      </w:r>
    </w:p>
    <w:p>
      <w:pPr>
        <w:spacing w:after="0" w:before="0"/>
      </w:pPr>
      <w:r>
        <w:rPr>
          <w:b w:val="0"/>
          <w:sz w:val="22"/>
        </w:rPr>
        <w:t>(b) Fat embolism syndrome</w:t>
      </w:r>
    </w:p>
    <w:p>
      <w:pPr>
        <w:spacing w:after="0" w:before="0"/>
      </w:pPr>
      <w:r>
        <w:rPr>
          <w:b w:val="0"/>
          <w:sz w:val="22"/>
        </w:rPr>
        <w:t>(c) Hypovolemic shock</w:t>
      </w:r>
    </w:p>
    <w:p>
      <w:pPr>
        <w:spacing w:after="0" w:before="0"/>
      </w:pPr>
      <w:r>
        <w:rPr>
          <w:b w:val="0"/>
          <w:sz w:val="22"/>
        </w:rPr>
        <w:t>(d) Pneumothorax</w:t>
      </w:r>
    </w:p>
    <w:p>
      <w:pPr>
        <w:spacing w:after="0" w:before="40"/>
      </w:pPr>
      <w:r>
        <w:rPr>
          <w:b/>
          <w:sz w:val="22"/>
        </w:rPr>
        <w:t>Answer: b</w:t>
      </w:r>
    </w:p>
    <w:p>
      <w:pPr>
        <w:spacing w:after="0" w:before="0"/>
      </w:pPr>
      <w:r>
        <w:rPr>
          <w:b w:val="0"/>
          <w:sz w:val="21"/>
        </w:rPr>
        <w:t>Solution: Fat embolism, most common after long-bone fractures, classically presents with respiratory distress and confusion 24-72 hours after injury (petechiae over the chest are a hallmark).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suction pressure applied while performing endotracheal tube suction in an adult patient?</w:t>
      </w:r>
    </w:p>
    <w:p>
      <w:pPr>
        <w:spacing w:after="0" w:before="0"/>
      </w:pPr>
      <w:r>
        <w:rPr>
          <w:b w:val="0"/>
          <w:sz w:val="22"/>
        </w:rPr>
        <w:t>(a) 100-120 mm Hg</w:t>
      </w:r>
    </w:p>
    <w:p>
      <w:pPr>
        <w:spacing w:after="0" w:before="0"/>
      </w:pPr>
      <w:r>
        <w:rPr>
          <w:b w:val="0"/>
          <w:sz w:val="22"/>
        </w:rPr>
        <w:t>(b) 50-75 mm Hg</w:t>
      </w:r>
    </w:p>
    <w:p>
      <w:pPr>
        <w:spacing w:after="0" w:before="0"/>
      </w:pPr>
      <w:r>
        <w:rPr>
          <w:b w:val="0"/>
          <w:sz w:val="22"/>
        </w:rPr>
        <w:t>(c) 40-60 mm Hg</w:t>
      </w:r>
    </w:p>
    <w:p>
      <w:pPr>
        <w:spacing w:after="0" w:before="0"/>
      </w:pPr>
      <w:r>
        <w:rPr>
          <w:b w:val="0"/>
          <w:sz w:val="22"/>
        </w:rPr>
        <w:t>(d) 60-100 mm Hg</w:t>
      </w:r>
    </w:p>
    <w:p>
      <w:pPr>
        <w:spacing w:after="0" w:before="40"/>
      </w:pPr>
      <w:r>
        <w:rPr>
          <w:b/>
          <w:sz w:val="22"/>
        </w:rPr>
        <w:t>Answer: a</w:t>
      </w:r>
    </w:p>
    <w:p>
      <w:pPr>
        <w:spacing w:after="0" w:before="0"/>
      </w:pPr>
      <w:r>
        <w:rPr>
          <w:b w:val="0"/>
          <w:sz w:val="21"/>
        </w:rPr>
        <w:t>Solution: The suction pressure applied while performing endotracheal tube suction in an adult patient is typically in the range of 100-120 mm Hg. Endotracheal tube suction is a procedure used to remove secretions, mucus, or other substances - - from the airway of a patient who is intubated. The suction pressure should be sufficient to effectively remove the material without causing harm to the patient. The specific pressure range may vary based on institutional protocols and individual patient needs, but maintaining a higher pressure within this range ensures effective suctioning. It is important for healthcare professionals to be trained in the proper technique and to follow established guidelines to minimize the risk of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Onset of puberty before the age of 8 years in girls is called ________.</w:t>
      </w:r>
    </w:p>
    <w:p>
      <w:pPr>
        <w:spacing w:after="0" w:before="0"/>
      </w:pPr>
      <w:r>
        <w:rPr>
          <w:b w:val="0"/>
          <w:sz w:val="22"/>
        </w:rPr>
        <w:t>(a) Precocious puberty</w:t>
      </w:r>
    </w:p>
    <w:p>
      <w:pPr>
        <w:spacing w:after="0" w:before="0"/>
      </w:pPr>
      <w:r>
        <w:rPr>
          <w:b w:val="0"/>
          <w:sz w:val="22"/>
        </w:rPr>
        <w:t>(b) Thelarche</w:t>
      </w:r>
    </w:p>
    <w:p>
      <w:pPr>
        <w:spacing w:after="0" w:before="0"/>
      </w:pPr>
      <w:r>
        <w:rPr>
          <w:b w:val="0"/>
          <w:sz w:val="22"/>
        </w:rPr>
        <w:t>(c) Menarche</w:t>
      </w:r>
    </w:p>
    <w:p>
      <w:pPr>
        <w:spacing w:after="0" w:before="0"/>
      </w:pPr>
      <w:r>
        <w:rPr>
          <w:b w:val="0"/>
          <w:sz w:val="22"/>
        </w:rPr>
        <w:t>(d) Delayed puberty</w:t>
      </w:r>
    </w:p>
    <w:p>
      <w:pPr>
        <w:spacing w:after="0" w:before="40"/>
      </w:pPr>
      <w:r>
        <w:rPr>
          <w:b/>
          <w:sz w:val="22"/>
        </w:rPr>
        <w:t>Answer: a</w:t>
      </w:r>
    </w:p>
    <w:p>
      <w:pPr>
        <w:spacing w:after="0" w:before="0"/>
      </w:pPr>
      <w:r>
        <w:rPr>
          <w:b w:val="0"/>
          <w:sz w:val="21"/>
        </w:rPr>
        <w:t>Solution: Onset of puberty before 8 years in girls (and 9 years in boys) is called precocious puberty.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High grade fever</w:t>
      </w:r>
    </w:p>
    <w:p>
      <w:pPr>
        <w:spacing w:after="0" w:before="0"/>
      </w:pPr>
      <w:r>
        <w:rPr>
          <w:b w:val="0"/>
          <w:sz w:val="22"/>
        </w:rPr>
        <w:t>(b) Persistent vomiting</w:t>
      </w:r>
    </w:p>
    <w:p>
      <w:pPr>
        <w:spacing w:after="0" w:before="0"/>
      </w:pPr>
      <w:r>
        <w:rPr>
          <w:b w:val="0"/>
          <w:sz w:val="22"/>
        </w:rPr>
        <w:t>(c) Blood in vomit or stool</w:t>
      </w:r>
    </w:p>
    <w:p>
      <w:pPr>
        <w:spacing w:after="0" w:before="0"/>
      </w:pPr>
      <w:r>
        <w:rPr>
          <w:b w:val="0"/>
          <w:sz w:val="22"/>
        </w:rPr>
        <w:t>(d) Severe Abdominal pain</w:t>
      </w:r>
    </w:p>
    <w:p>
      <w:pPr>
        <w:spacing w:after="0" w:before="40"/>
      </w:pPr>
      <w:r>
        <w:rPr>
          <w:b/>
          <w:sz w:val="22"/>
        </w:rPr>
        <w:t>Answer: a</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Continue blood transfusion and give DOC calcium</w:t>
      </w:r>
    </w:p>
    <w:p>
      <w:pPr>
        <w:spacing w:after="0" w:before="0"/>
      </w:pPr>
      <w:r>
        <w:rPr>
          <w:b w:val="0"/>
          <w:sz w:val="22"/>
        </w:rPr>
        <w:t>(b) Continue blood transfusion and give adrenaline</w:t>
      </w:r>
    </w:p>
    <w:p>
      <w:pPr>
        <w:spacing w:after="0" w:before="0"/>
      </w:pPr>
      <w:r>
        <w:rPr>
          <w:b w:val="0"/>
          <w:sz w:val="22"/>
        </w:rPr>
        <w:t>(c) Stop blood transfusion and administer hydrocortisone</w:t>
      </w:r>
    </w:p>
    <w:p>
      <w:pPr>
        <w:spacing w:after="0" w:before="0"/>
      </w:pPr>
      <w:r>
        <w:rPr>
          <w:b w:val="0"/>
          <w:sz w:val="22"/>
        </w:rPr>
        <w:t>(d) Stop the infusion and Inform to the doctor</w:t>
      </w:r>
    </w:p>
    <w:p>
      <w:pPr>
        <w:spacing w:after="0" w:before="40"/>
      </w:pPr>
      <w:r>
        <w:rPr>
          <w:b/>
          <w:sz w:val="22"/>
        </w:rPr>
        <w:t>Answer: d</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Frequent dressing changes</w:t>
      </w:r>
    </w:p>
    <w:p>
      <w:pPr>
        <w:spacing w:after="0" w:before="0"/>
      </w:pPr>
      <w:r>
        <w:rPr>
          <w:b w:val="0"/>
          <w:sz w:val="22"/>
        </w:rPr>
        <w:t>(b) High-calorie nutritional support</w:t>
      </w:r>
    </w:p>
    <w:p>
      <w:pPr>
        <w:spacing w:after="0" w:before="0"/>
      </w:pPr>
      <w:r>
        <w:rPr>
          <w:b w:val="0"/>
          <w:sz w:val="22"/>
        </w:rPr>
        <w:t>(c) Initial burn wound debridement</w:t>
      </w:r>
    </w:p>
    <w:p>
      <w:pPr>
        <w:spacing w:after="0" w:before="0"/>
      </w:pPr>
      <w:r>
        <w:rPr>
          <w:b w:val="0"/>
          <w:sz w:val="22"/>
        </w:rPr>
        <w:t>(d) Airway assessment and fluid resuscitation</w:t>
      </w:r>
    </w:p>
    <w:p>
      <w:pPr>
        <w:spacing w:after="0" w:before="40"/>
      </w:pPr>
      <w:r>
        <w:rPr>
          <w:b/>
          <w:sz w:val="22"/>
        </w:rPr>
        <w:t>Answer: d</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symptom of Hyponatremia is:</w:t>
      </w:r>
    </w:p>
    <w:p>
      <w:pPr>
        <w:spacing w:after="0" w:before="0"/>
      </w:pPr>
      <w:r>
        <w:rPr>
          <w:b w:val="0"/>
          <w:sz w:val="22"/>
        </w:rPr>
        <w:t>(a) Ataxia</w:t>
      </w:r>
    </w:p>
    <w:p>
      <w:pPr>
        <w:spacing w:after="0" w:before="0"/>
      </w:pPr>
      <w:r>
        <w:rPr>
          <w:b w:val="0"/>
          <w:sz w:val="22"/>
        </w:rPr>
        <w:t>(b) Weakness</w:t>
      </w:r>
    </w:p>
    <w:p>
      <w:pPr>
        <w:spacing w:after="0" w:before="0"/>
      </w:pPr>
      <w:r>
        <w:rPr>
          <w:b w:val="0"/>
          <w:sz w:val="22"/>
        </w:rPr>
        <w:t>(c) Thirst</w:t>
      </w:r>
    </w:p>
    <w:p>
      <w:pPr>
        <w:spacing w:after="0" w:before="0"/>
      </w:pPr>
      <w:r>
        <w:rPr>
          <w:b w:val="0"/>
          <w:sz w:val="22"/>
        </w:rPr>
        <w:t>(d) Fatigue</w:t>
      </w:r>
    </w:p>
    <w:p>
      <w:pPr>
        <w:spacing w:after="0" w:before="40"/>
      </w:pPr>
      <w:r>
        <w:rPr>
          <w:b/>
          <w:sz w:val="22"/>
        </w:rPr>
        <w:t>Answer: d</w:t>
      </w:r>
    </w:p>
    <w:p>
      <w:pPr>
        <w:spacing w:after="0" w:before="0"/>
      </w:pPr>
      <w:r>
        <w:rPr>
          <w:b w:val="0"/>
          <w:sz w:val="21"/>
        </w:rPr>
        <w:t>Solution: Fatigue is the earliest symptom of hyponatremia (mild sodium depletion).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DPT stand for?</w:t>
      </w:r>
    </w:p>
    <w:p>
      <w:pPr>
        <w:spacing w:after="0" w:before="0"/>
      </w:pPr>
      <w:r>
        <w:rPr>
          <w:b w:val="0"/>
          <w:sz w:val="22"/>
        </w:rPr>
        <w:t>(a) Diphtheria, pertussis, tetanus</w:t>
      </w:r>
    </w:p>
    <w:p>
      <w:pPr>
        <w:spacing w:after="0" w:before="0"/>
      </w:pPr>
      <w:r>
        <w:rPr>
          <w:b w:val="0"/>
          <w:sz w:val="22"/>
        </w:rPr>
        <w:t>(b) Diphtheria, polio, tetanus</w:t>
      </w:r>
    </w:p>
    <w:p>
      <w:pPr>
        <w:spacing w:after="0" w:before="0"/>
      </w:pPr>
      <w:r>
        <w:rPr>
          <w:b w:val="0"/>
          <w:sz w:val="22"/>
        </w:rPr>
        <w:t>(c) Diphtheria, pertussis, tetany</w:t>
      </w:r>
    </w:p>
    <w:p>
      <w:pPr>
        <w:spacing w:after="0" w:before="0"/>
      </w:pPr>
      <w:r>
        <w:rPr>
          <w:b w:val="0"/>
          <w:sz w:val="22"/>
        </w:rPr>
        <w:t>(d) Diphtheria, pertussis, TB</w:t>
      </w:r>
    </w:p>
    <w:p>
      <w:pPr>
        <w:spacing w:after="0" w:before="40"/>
      </w:pPr>
      <w:r>
        <w:rPr>
          <w:b/>
          <w:sz w:val="22"/>
        </w:rPr>
        <w:t>Answer: a</w:t>
      </w:r>
    </w:p>
    <w:p>
      <w:pPr>
        <w:spacing w:after="0" w:before="0"/>
      </w:pPr>
      <w:r>
        <w:rPr>
          <w:b w:val="0"/>
          <w:sz w:val="21"/>
        </w:rPr>
        <w:t>Solution: DPT stands for diphtheria, pertussis, tetanus (option a). DPT refers to a combination vaccine that protects against these three diseases. Diphtheria is a bacterial infection that can cause severe respiratory symptoms and complications. Pertussis, also known as whooping cough, is a highly contagious respiratory infection. Tetanus, commonly referred to as lockjaw, is a potentially fatal bacterial infection that affects the muscles and nerves. The DPT vaccine is administered in multiple doses to provide immunity against these diseases, particularly in childhood. It is an essential component of routine immunization programs worldwide.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Anganwadi worker assess the malnutrition status by:</w:t>
      </w:r>
    </w:p>
    <w:p>
      <w:pPr>
        <w:spacing w:after="0" w:before="0"/>
      </w:pPr>
      <w:r>
        <w:rPr>
          <w:b w:val="0"/>
          <w:sz w:val="22"/>
        </w:rPr>
        <w:t>(a) Mid arm circumference</w:t>
      </w:r>
    </w:p>
    <w:p>
      <w:pPr>
        <w:spacing w:after="0" w:before="0"/>
      </w:pPr>
      <w:r>
        <w:rPr>
          <w:b w:val="0"/>
          <w:sz w:val="22"/>
        </w:rPr>
        <w:t>(b) Height for age</w:t>
      </w:r>
    </w:p>
    <w:p>
      <w:pPr>
        <w:spacing w:after="0" w:before="0"/>
      </w:pPr>
      <w:r>
        <w:rPr>
          <w:b w:val="0"/>
          <w:sz w:val="22"/>
        </w:rPr>
        <w:t>(c) Weight for age</w:t>
      </w:r>
    </w:p>
    <w:p>
      <w:pPr>
        <w:spacing w:after="0" w:before="0"/>
      </w:pPr>
      <w:r>
        <w:rPr>
          <w:b w:val="0"/>
          <w:sz w:val="22"/>
        </w:rPr>
        <w:t>(d) Weight for height</w:t>
      </w:r>
    </w:p>
    <w:p>
      <w:pPr>
        <w:spacing w:after="0" w:before="40"/>
      </w:pPr>
      <w:r>
        <w:rPr>
          <w:b/>
          <w:sz w:val="22"/>
        </w:rPr>
        <w:t>Answer: c</w:t>
      </w:r>
    </w:p>
    <w:p>
      <w:pPr>
        <w:spacing w:after="0" w:before="0"/>
      </w:pPr>
      <w:r>
        <w:rPr>
          <w:b w:val="0"/>
          <w:sz w:val="21"/>
        </w:rPr>
        <w:t>Solution: Anganwadi workers assess malnutrition in children by weight for age (growth monitoring under ICDS).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given to forms blister and heals by itself and forms parmanant scar mark after administration is?</w:t>
      </w:r>
    </w:p>
    <w:p>
      <w:pPr>
        <w:spacing w:after="0" w:before="0"/>
      </w:pPr>
      <w:r>
        <w:rPr>
          <w:b w:val="0"/>
          <w:sz w:val="22"/>
        </w:rPr>
        <w:t>(a) BCG</w:t>
      </w:r>
    </w:p>
    <w:p>
      <w:pPr>
        <w:spacing w:after="0" w:before="0"/>
      </w:pPr>
      <w:r>
        <w:rPr>
          <w:b w:val="0"/>
          <w:sz w:val="22"/>
        </w:rPr>
        <w:t>(b) MMR</w:t>
      </w:r>
    </w:p>
    <w:p>
      <w:pPr>
        <w:spacing w:after="0" w:before="0"/>
      </w:pPr>
      <w:r>
        <w:rPr>
          <w:b w:val="0"/>
          <w:sz w:val="22"/>
        </w:rPr>
        <w:t>(c) DPT/DT</w:t>
      </w:r>
    </w:p>
    <w:p>
      <w:pPr>
        <w:spacing w:after="0" w:before="0"/>
      </w:pPr>
      <w:r>
        <w:rPr>
          <w:b w:val="0"/>
          <w:sz w:val="22"/>
        </w:rPr>
        <w:t>(d) Polio</w:t>
      </w:r>
    </w:p>
    <w:p>
      <w:pPr>
        <w:spacing w:after="0" w:before="40"/>
      </w:pPr>
      <w:r>
        <w:rPr>
          <w:b/>
          <w:sz w:val="22"/>
        </w:rPr>
        <w:t>Answer: a</w:t>
      </w:r>
    </w:p>
    <w:p>
      <w:pPr>
        <w:spacing w:after="0" w:before="0"/>
      </w:pPr>
      <w:r>
        <w:rPr>
          <w:b w:val="0"/>
          <w:sz w:val="21"/>
        </w:rPr>
        <w:t>Solution: BCG is given intradermally at birth; it forms a papule that ulcerates and heals spontaneously leaving a permanent scar by 6-12 weeks.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Restrict dietary protein immediately</w:t>
      </w:r>
    </w:p>
    <w:p>
      <w:pPr>
        <w:spacing w:after="0" w:before="0"/>
      </w:pPr>
      <w:r>
        <w:rPr>
          <w:b w:val="0"/>
          <w:sz w:val="22"/>
        </w:rPr>
        <w:t>(b) Place the client in the supine position</w:t>
      </w:r>
    </w:p>
    <w:p>
      <w:pPr>
        <w:spacing w:after="0" w:before="0"/>
      </w:pPr>
      <w:r>
        <w:rPr>
          <w:b w:val="0"/>
          <w:sz w:val="22"/>
        </w:rPr>
        <w:t>(c) Prepare to administer lactulose as ordered</w:t>
      </w:r>
    </w:p>
    <w:p>
      <w:pPr>
        <w:spacing w:after="0" w:before="0"/>
      </w:pPr>
      <w:r>
        <w:rPr>
          <w:b w:val="0"/>
          <w:sz w:val="22"/>
        </w:rPr>
        <w:t>(d) Increase dietary sodium intake</w:t>
      </w:r>
    </w:p>
    <w:p>
      <w:pPr>
        <w:spacing w:after="0" w:before="40"/>
      </w:pPr>
      <w:r>
        <w:rPr>
          <w:b/>
          <w:sz w:val="22"/>
        </w:rPr>
        <w:t>Answer: c</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laboratory value requires IMMEDIATE notification in a client with chronic kidney disease?</w:t>
      </w:r>
    </w:p>
    <w:p>
      <w:pPr>
        <w:spacing w:after="0" w:before="0"/>
      </w:pPr>
      <w:r>
        <w:rPr>
          <w:b w:val="0"/>
          <w:sz w:val="22"/>
        </w:rPr>
        <w:t>(a) Blood urea nitrogen 42 mg/dL</w:t>
      </w:r>
    </w:p>
    <w:p>
      <w:pPr>
        <w:spacing w:after="0" w:before="0"/>
      </w:pPr>
      <w:r>
        <w:rPr>
          <w:b w:val="0"/>
          <w:sz w:val="22"/>
        </w:rPr>
        <w:t>(b) Hemoglobin 10.2 g/dL</w:t>
      </w:r>
    </w:p>
    <w:p>
      <w:pPr>
        <w:spacing w:after="0" w:before="0"/>
      </w:pPr>
      <w:r>
        <w:rPr>
          <w:b w:val="0"/>
          <w:sz w:val="22"/>
        </w:rPr>
        <w:t>(c) Serum creatinine 2.4 mg/dL</w:t>
      </w:r>
    </w:p>
    <w:p>
      <w:pPr>
        <w:spacing w:after="0" w:before="0"/>
      </w:pPr>
      <w:r>
        <w:rPr>
          <w:b w:val="0"/>
          <w:sz w:val="22"/>
        </w:rPr>
        <w:t>(d) Serum potassium 6.8 mEq/L</w:t>
      </w:r>
    </w:p>
    <w:p>
      <w:pPr>
        <w:spacing w:after="0" w:before="40"/>
      </w:pPr>
      <w:r>
        <w:rPr>
          <w:b/>
          <w:sz w:val="22"/>
        </w:rPr>
        <w:t>Answer: d</w:t>
      </w:r>
    </w:p>
    <w:p>
      <w:pPr>
        <w:spacing w:after="0" w:before="0"/>
      </w:pPr>
      <w:r>
        <w:rPr>
          <w:b w:val="0"/>
          <w:sz w:val="21"/>
        </w:rPr>
        <w:t>Solution: Hyperkalemia (&gt;5.5 mEq/L) can precipitate lethal cardiac dysrhythmias; potassium 6.8 mEq/L is a critical value that must be reported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comes to the emergency department with frequent loose motions for one day, normal vital signs and no dehydration (skin pinch returns within 2 seconds). What is the priority nursing action?</w:t>
      </w:r>
    </w:p>
    <w:p>
      <w:pPr>
        <w:spacing w:after="0" w:before="0"/>
      </w:pPr>
      <w:r>
        <w:rPr>
          <w:b w:val="0"/>
          <w:sz w:val="22"/>
        </w:rPr>
        <w:t>(a) IV fluids</w:t>
      </w:r>
    </w:p>
    <w:p>
      <w:pPr>
        <w:spacing w:after="0" w:before="0"/>
      </w:pPr>
      <w:r>
        <w:rPr>
          <w:b w:val="0"/>
          <w:sz w:val="22"/>
        </w:rPr>
        <w:t>(b) ORS and zinc supplementation</w:t>
      </w:r>
    </w:p>
    <w:p>
      <w:pPr>
        <w:spacing w:after="0" w:before="0"/>
      </w:pPr>
      <w:r>
        <w:rPr>
          <w:b w:val="0"/>
          <w:sz w:val="22"/>
        </w:rPr>
        <w:t>(c) Reassure the parents that no treatment is needed</w:t>
      </w:r>
    </w:p>
    <w:p>
      <w:pPr>
        <w:spacing w:after="0" w:before="0"/>
      </w:pPr>
      <w:r>
        <w:rPr>
          <w:b w:val="0"/>
          <w:sz w:val="22"/>
        </w:rPr>
        <w:t>(d) Admit to the ICU</w:t>
      </w:r>
    </w:p>
    <w:p>
      <w:pPr>
        <w:spacing w:after="0" w:before="40"/>
      </w:pPr>
      <w:r>
        <w:rPr>
          <w:b/>
          <w:sz w:val="22"/>
        </w:rPr>
        <w:t>Answer: b</w:t>
      </w:r>
    </w:p>
    <w:p>
      <w:pPr>
        <w:spacing w:after="0" w:before="0"/>
      </w:pPr>
      <w:r>
        <w:rPr>
          <w:b w:val="0"/>
          <w:sz w:val="21"/>
        </w:rPr>
        <w:t>Solution: For acute watery diarrhoea without dehydration, ORS and zinc supplementation are given to prevent dehydration; IV fluids and admission are needed only if dehydration develops.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Pupils unequal and sluggish to react</w:t>
      </w:r>
    </w:p>
    <w:p>
      <w:pPr>
        <w:spacing w:after="0" w:before="0"/>
      </w:pPr>
      <w:r>
        <w:rPr>
          <w:b w:val="0"/>
          <w:sz w:val="22"/>
        </w:rPr>
        <w:t>(b) Mild expressive aphasia</w:t>
      </w:r>
    </w:p>
    <w:p>
      <w:pPr>
        <w:spacing w:after="0" w:before="0"/>
      </w:pPr>
      <w:r>
        <w:rPr>
          <w:b w:val="0"/>
          <w:sz w:val="22"/>
        </w:rPr>
        <w:t>(c) Blood pressure 150/90 mm Hg</w:t>
      </w:r>
    </w:p>
    <w:p>
      <w:pPr>
        <w:spacing w:after="0" w:before="0"/>
      </w:pPr>
      <w:r>
        <w:rPr>
          <w:b w:val="0"/>
          <w:sz w:val="22"/>
        </w:rPr>
        <w:t>(d) Right-sided hemiparesis</w:t>
      </w:r>
    </w:p>
    <w:p>
      <w:pPr>
        <w:spacing w:after="0" w:before="40"/>
      </w:pPr>
      <w:r>
        <w:rPr>
          <w:b/>
          <w:sz w:val="22"/>
        </w:rPr>
        <w:t>Answer: a</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Immediately remove suction catheter</w:t>
      </w:r>
    </w:p>
    <w:p>
      <w:pPr>
        <w:spacing w:after="0" w:before="0"/>
      </w:pPr>
      <w:r>
        <w:rPr>
          <w:b w:val="0"/>
          <w:sz w:val="22"/>
        </w:rPr>
        <w:t>(b) Suction rapidly in 5 sec and remove the catheter</w:t>
      </w:r>
    </w:p>
    <w:p>
      <w:pPr>
        <w:spacing w:after="0" w:before="0"/>
      </w:pPr>
      <w:r>
        <w:rPr>
          <w:b w:val="0"/>
          <w:sz w:val="22"/>
        </w:rPr>
        <w:t>(c) Call senior nurse</w:t>
      </w:r>
    </w:p>
    <w:p>
      <w:pPr>
        <w:spacing w:after="0" w:before="0"/>
      </w:pPr>
      <w:r>
        <w:rPr>
          <w:b w:val="0"/>
          <w:sz w:val="22"/>
        </w:rPr>
        <w:t>(d) Call doctor immediately</w:t>
      </w:r>
    </w:p>
    <w:p>
      <w:pPr>
        <w:spacing w:after="0" w:before="40"/>
      </w:pPr>
      <w:r>
        <w:rPr>
          <w:b/>
          <w:sz w:val="22"/>
        </w:rPr>
        <w:t>Answer: a</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Administer epinephrine IM immediately</w:t>
      </w:r>
    </w:p>
    <w:p>
      <w:pPr>
        <w:spacing w:after="0" w:before="0"/>
      </w:pPr>
      <w:r>
        <w:rPr>
          <w:b w:val="0"/>
          <w:sz w:val="22"/>
        </w:rPr>
        <w:t>(b) Give an oral antihistamine</w:t>
      </w:r>
    </w:p>
    <w:p>
      <w:pPr>
        <w:spacing w:after="0" w:before="0"/>
      </w:pPr>
      <w:r>
        <w:rPr>
          <w:b w:val="0"/>
          <w:sz w:val="22"/>
        </w:rPr>
        <w:t>(c) Establish IV access first</w:t>
      </w:r>
    </w:p>
    <w:p>
      <w:pPr>
        <w:spacing w:after="0" w:before="0"/>
      </w:pPr>
      <w:r>
        <w:rPr>
          <w:b w:val="0"/>
          <w:sz w:val="22"/>
        </w:rPr>
        <w:t>(d) Apply oxygen by face mask</w:t>
      </w:r>
    </w:p>
    <w:p>
      <w:pPr>
        <w:spacing w:after="0" w:before="40"/>
      </w:pPr>
      <w:r>
        <w:rPr>
          <w:b/>
          <w:sz w:val="22"/>
        </w:rPr>
        <w:t>Answer: a</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Triple test performed at 15-18 weeks of pregnancy. What is the positive test result indicate that the body having down syndrome?</w:t>
      </w:r>
    </w:p>
    <w:p>
      <w:pPr>
        <w:spacing w:after="0" w:before="0"/>
      </w:pPr>
      <w:r>
        <w:rPr>
          <w:b w:val="0"/>
          <w:sz w:val="22"/>
        </w:rPr>
        <w:t>(a) high and UE3 tend to be high that of MSAFP is low</w:t>
      </w:r>
    </w:p>
    <w:p>
      <w:pPr>
        <w:spacing w:after="0" w:before="0"/>
      </w:pPr>
      <w:r>
        <w:rPr>
          <w:b w:val="0"/>
          <w:sz w:val="22"/>
        </w:rPr>
        <w:t>(b) MSAFP and UE3 tend to be low that of hCG is high</w:t>
      </w:r>
    </w:p>
    <w:p>
      <w:pPr>
        <w:spacing w:after="0" w:before="0"/>
      </w:pPr>
      <w:r>
        <w:rPr>
          <w:b w:val="0"/>
          <w:sz w:val="22"/>
        </w:rPr>
        <w:t>(c) high and UE3 tend to be high that of MSAFP is high</w:t>
      </w:r>
    </w:p>
    <w:p>
      <w:pPr>
        <w:spacing w:after="0" w:before="0"/>
      </w:pPr>
      <w:r>
        <w:rPr>
          <w:b w:val="0"/>
          <w:sz w:val="22"/>
        </w:rPr>
        <w:t>(d) MSAFP and UE3 tend to be high that of hCG is low</w:t>
      </w:r>
    </w:p>
    <w:p>
      <w:pPr>
        <w:spacing w:after="0" w:before="40"/>
      </w:pPr>
      <w:r>
        <w:rPr>
          <w:b/>
          <w:sz w:val="22"/>
        </w:rPr>
        <w:t>Answer: b</w:t>
      </w:r>
    </w:p>
    <w:p>
      <w:pPr>
        <w:spacing w:after="0" w:before="0"/>
      </w:pPr>
      <w:r>
        <w:rPr>
          <w:b w:val="0"/>
          <w:sz w:val="21"/>
        </w:rPr>
        <w:t>Solution: In Down syndrome, the triple test shows LOW MSAFP and LOW unconjugated estriol with HIGH hCG.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programme that aimed to train health personnel in basic newborn care and resuscitation is</w:t>
      </w:r>
    </w:p>
    <w:p>
      <w:pPr>
        <w:spacing w:after="0" w:before="0"/>
      </w:pPr>
      <w:r>
        <w:rPr>
          <w:b w:val="0"/>
          <w:sz w:val="22"/>
        </w:rPr>
        <w:t>(a) IMNCI</w:t>
      </w:r>
    </w:p>
    <w:p>
      <w:pPr>
        <w:spacing w:after="0" w:before="0"/>
      </w:pPr>
      <w:r>
        <w:rPr>
          <w:b w:val="0"/>
          <w:sz w:val="22"/>
        </w:rPr>
        <w:t>(b) Rashtriya Bal Swasthya Karyakram</w:t>
      </w:r>
    </w:p>
    <w:p>
      <w:pPr>
        <w:spacing w:after="0" w:before="0"/>
      </w:pPr>
      <w:r>
        <w:rPr>
          <w:b w:val="0"/>
          <w:sz w:val="22"/>
        </w:rPr>
        <w:t>(c) Navjat Shishu Suraksha Kaaryakram</w:t>
      </w:r>
    </w:p>
    <w:p>
      <w:pPr>
        <w:spacing w:after="0" w:before="0"/>
      </w:pPr>
      <w:r>
        <w:rPr>
          <w:b w:val="0"/>
          <w:sz w:val="22"/>
        </w:rPr>
        <w:t>(d) Home based new born care</w:t>
      </w:r>
    </w:p>
    <w:p>
      <w:pPr>
        <w:spacing w:after="0" w:before="40"/>
      </w:pPr>
      <w:r>
        <w:rPr>
          <w:b/>
          <w:sz w:val="22"/>
        </w:rPr>
        <w:t>Answer: c</w:t>
      </w:r>
    </w:p>
    <w:p>
      <w:pPr>
        <w:spacing w:after="0" w:before="0"/>
      </w:pPr>
      <w:r>
        <w:rPr>
          <w:b w:val="0"/>
          <w:sz w:val="21"/>
        </w:rPr>
        <w:t>Solution: Navjat Shishu Suraksha Karyakram (NSSK) trains health personnel in basic newborn care and resuscitation.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receiving continue enteral feeding, in which position placed the patient to prevent aspiration?</w:t>
      </w:r>
    </w:p>
    <w:p>
      <w:pPr>
        <w:spacing w:after="0" w:before="0"/>
      </w:pPr>
      <w:r>
        <w:rPr>
          <w:b w:val="0"/>
          <w:sz w:val="22"/>
        </w:rPr>
        <w:t>(a) Keep supine</w:t>
      </w:r>
    </w:p>
    <w:p>
      <w:pPr>
        <w:spacing w:after="0" w:before="0"/>
      </w:pPr>
      <w:r>
        <w:rPr>
          <w:b w:val="0"/>
          <w:sz w:val="22"/>
        </w:rPr>
        <w:t>(b) Head elevate</w:t>
      </w:r>
    </w:p>
    <w:p>
      <w:pPr>
        <w:spacing w:after="0" w:before="0"/>
      </w:pPr>
      <w:r>
        <w:rPr>
          <w:b w:val="0"/>
          <w:sz w:val="22"/>
        </w:rPr>
        <w:t>(c) Sims</w:t>
      </w:r>
    </w:p>
    <w:p>
      <w:pPr>
        <w:spacing w:after="0" w:before="0"/>
      </w:pPr>
      <w:r>
        <w:rPr>
          <w:b w:val="0"/>
          <w:sz w:val="22"/>
        </w:rPr>
        <w:t>(d) Left lateral</w:t>
      </w:r>
    </w:p>
    <w:p>
      <w:pPr>
        <w:spacing w:after="0" w:before="40"/>
      </w:pPr>
      <w:r>
        <w:rPr>
          <w:b/>
          <w:sz w:val="22"/>
        </w:rPr>
        <w:t>Answer: b</w:t>
      </w:r>
    </w:p>
    <w:p>
      <w:pPr>
        <w:spacing w:after="0" w:before="0"/>
      </w:pPr>
      <w:r>
        <w:rPr>
          <w:b w:val="0"/>
          <w:sz w:val="21"/>
        </w:rPr>
        <w:t>Solution: To prevent aspiration in a patient receiving continuous enteral feeding, the head should be elevated (option A). Keeping the head of the bed elevated helps to prevent the reflux of gastric contents into the upper respiratory tract and reduces the risk of aspiration pneumonia. Elevating the head of the bed at an angle of 30 to 45 degrees is commonly recommended. This position promotes the downward flow of the enteral feeding and helps maintain the integrity of the lower esophageal sphincter, preventing regurgitation.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non-absorbable suture</w:t>
      </w:r>
    </w:p>
    <w:p>
      <w:pPr>
        <w:spacing w:after="0" w:before="0"/>
      </w:pPr>
      <w:r>
        <w:rPr>
          <w:b w:val="0"/>
          <w:sz w:val="22"/>
        </w:rPr>
        <w:t>(a) Polyester</w:t>
      </w:r>
    </w:p>
    <w:p>
      <w:pPr>
        <w:spacing w:after="0" w:before="0"/>
      </w:pPr>
      <w:r>
        <w:rPr>
          <w:b w:val="0"/>
          <w:sz w:val="22"/>
        </w:rPr>
        <w:t>(b) Vicryl</w:t>
      </w:r>
    </w:p>
    <w:p>
      <w:pPr>
        <w:spacing w:after="0" w:before="0"/>
      </w:pPr>
      <w:r>
        <w:rPr>
          <w:b w:val="0"/>
          <w:sz w:val="22"/>
        </w:rPr>
        <w:t>(c) Monocryl</w:t>
      </w:r>
    </w:p>
    <w:p>
      <w:pPr>
        <w:spacing w:after="0" w:before="0"/>
      </w:pPr>
      <w:r>
        <w:rPr>
          <w:b w:val="0"/>
          <w:sz w:val="22"/>
        </w:rPr>
        <w:t>(d) Chromic catgut</w:t>
      </w:r>
    </w:p>
    <w:p>
      <w:pPr>
        <w:spacing w:after="0" w:before="40"/>
      </w:pPr>
      <w:r>
        <w:rPr>
          <w:b/>
          <w:sz w:val="22"/>
        </w:rPr>
        <w:t>Answer: a</w:t>
      </w:r>
    </w:p>
    <w:p>
      <w:pPr>
        <w:spacing w:after="0" w:before="0"/>
      </w:pPr>
      <w:r>
        <w:rPr>
          <w:b w:val="0"/>
          <w:sz w:val="21"/>
        </w:rPr>
        <w:t>Solution: Polyester (e.g., Ethibond) is a non-absorbable suture; Vicryl, Monocryl and chromic catgut are absorbable.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