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In a 35-year-old female, USG shows 2mm mass and CA125 is reactive. What is the diagnosis in this patient?</w:t>
      </w:r>
    </w:p>
    <w:p>
      <w:pPr>
        <w:spacing w:after="0" w:before="0"/>
      </w:pPr>
      <w:r>
        <w:rPr>
          <w:b w:val="0"/>
          <w:sz w:val="22"/>
        </w:rPr>
        <w:t>(a) Ovarian cancer</w:t>
      </w:r>
    </w:p>
    <w:p>
      <w:pPr>
        <w:spacing w:after="0" w:before="0"/>
      </w:pPr>
      <w:r>
        <w:rPr>
          <w:b w:val="0"/>
          <w:sz w:val="22"/>
        </w:rPr>
        <w:t>(b) Cervical cancer</w:t>
      </w:r>
    </w:p>
    <w:p>
      <w:pPr>
        <w:spacing w:after="0" w:before="0"/>
      </w:pPr>
      <w:r>
        <w:rPr>
          <w:b w:val="0"/>
          <w:sz w:val="22"/>
        </w:rPr>
        <w:t>(c) Mucosal cancer</w:t>
      </w:r>
    </w:p>
    <w:p>
      <w:pPr>
        <w:spacing w:after="0" w:before="0"/>
      </w:pPr>
      <w:r>
        <w:rPr>
          <w:b w:val="0"/>
          <w:sz w:val="22"/>
        </w:rPr>
        <w:t>(d) Uterine cancer</w:t>
      </w:r>
    </w:p>
    <w:p>
      <w:pPr>
        <w:spacing w:after="0" w:before="40"/>
      </w:pPr>
      <w:r>
        <w:rPr>
          <w:b/>
          <w:sz w:val="22"/>
        </w:rPr>
        <w:t>Answer: a</w:t>
      </w:r>
    </w:p>
    <w:p>
      <w:pPr>
        <w:spacing w:after="0" w:before="0"/>
      </w:pPr>
      <w:r>
        <w:rPr>
          <w:b w:val="0"/>
          <w:sz w:val="21"/>
        </w:rPr>
        <w:t>Solution: A 2 mm adnexal mass with raised CA-125 in a 35-year-old female suggests ovarian cancer.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 a client receiving a blood transfusion requires the nurse to STOP the transfusion immediately?</w:t>
      </w:r>
    </w:p>
    <w:p>
      <w:pPr>
        <w:spacing w:after="0" w:before="0"/>
      </w:pPr>
      <w:r>
        <w:rPr>
          <w:b w:val="0"/>
          <w:sz w:val="22"/>
        </w:rPr>
        <w:t>(a) Heart rate increase of 6 beats/min</w:t>
      </w:r>
    </w:p>
    <w:p>
      <w:pPr>
        <w:spacing w:after="0" w:before="0"/>
      </w:pPr>
      <w:r>
        <w:rPr>
          <w:b w:val="0"/>
          <w:sz w:val="22"/>
        </w:rPr>
        <w:t>(b) Mild headache</w:t>
      </w:r>
    </w:p>
    <w:p>
      <w:pPr>
        <w:spacing w:after="0" w:before="0"/>
      </w:pPr>
      <w:r>
        <w:rPr>
          <w:b w:val="0"/>
          <w:sz w:val="22"/>
        </w:rPr>
        <w:t>(c) Slight redness around the IV site</w:t>
      </w:r>
    </w:p>
    <w:p>
      <w:pPr>
        <w:spacing w:after="0" w:before="0"/>
      </w:pPr>
      <w:r>
        <w:rPr>
          <w:b w:val="0"/>
          <w:sz w:val="22"/>
        </w:rPr>
        <w:t>(d) Temperature 38.9°C with chills and low back pain</w:t>
      </w:r>
    </w:p>
    <w:p>
      <w:pPr>
        <w:spacing w:after="0" w:before="40"/>
      </w:pPr>
      <w:r>
        <w:rPr>
          <w:b/>
          <w:sz w:val="22"/>
        </w:rPr>
        <w:t>Answer: d</w:t>
      </w:r>
    </w:p>
    <w:p>
      <w:pPr>
        <w:spacing w:after="0" w:before="0"/>
      </w:pPr>
      <w:r>
        <w:rPr>
          <w:b w:val="0"/>
          <w:sz w:val="21"/>
        </w:rPr>
        <w:t>Solution: Fever, chills and low back pain are the classic triad of a hemolytic transfusion reaction; the infusion must be stopped at once and the blood returned to the blood bank.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Aunt: Colony: Fish:?</w:t>
      </w:r>
    </w:p>
    <w:p>
      <w:pPr>
        <w:spacing w:after="0" w:before="0"/>
      </w:pPr>
      <w:r>
        <w:rPr>
          <w:b w:val="0"/>
          <w:sz w:val="22"/>
        </w:rPr>
        <w:t>(a) Bunch</w:t>
      </w:r>
    </w:p>
    <w:p>
      <w:pPr>
        <w:spacing w:after="0" w:before="0"/>
      </w:pPr>
      <w:r>
        <w:rPr>
          <w:b w:val="0"/>
          <w:sz w:val="22"/>
        </w:rPr>
        <w:t>(b) Herd</w:t>
      </w:r>
    </w:p>
    <w:p>
      <w:pPr>
        <w:spacing w:after="0" w:before="0"/>
      </w:pPr>
      <w:r>
        <w:rPr>
          <w:b w:val="0"/>
          <w:sz w:val="22"/>
        </w:rPr>
        <w:t>(c) School</w:t>
      </w:r>
    </w:p>
    <w:p>
      <w:pPr>
        <w:spacing w:after="0" w:before="0"/>
      </w:pPr>
      <w:r>
        <w:rPr>
          <w:b w:val="0"/>
          <w:sz w:val="22"/>
        </w:rPr>
        <w:t>(d) Swarm</w:t>
      </w:r>
    </w:p>
    <w:p>
      <w:pPr>
        <w:spacing w:after="0" w:before="40"/>
      </w:pPr>
      <w:r>
        <w:rPr>
          <w:b/>
          <w:sz w:val="22"/>
        </w:rPr>
        <w:t>Answer: c</w:t>
      </w:r>
    </w:p>
    <w:p>
      <w:pPr>
        <w:spacing w:after="0" w:before="0"/>
      </w:pPr>
      <w:r>
        <w:rPr>
          <w:b w:val="0"/>
          <w:sz w:val="21"/>
        </w:rPr>
        <w:t>Solution: Analogical reasoning involves finding similarities between two different sets of objects or concepts and drawing inferences based on those similarities. In this question, the task is to find the relationship between the words "aunt" and "colony" and apply the same relationship to the word "fish" to determine which option fits. National songs -en &amp; anch match words Reasoning) &amp; - &amp; The relationship between "aunt" and "colony" is that the collective noun for a group of aunts is a colony. Similarly, the collective noun for a group of fish is a school, which is the correct answer (option B). Therefore, the correct answer is B: School.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notes that a client's abdominal wound has dehisced and bowel is protruding. What should the nurse do FIRST?</w:t>
      </w:r>
    </w:p>
    <w:p>
      <w:pPr>
        <w:spacing w:after="0" w:before="0"/>
      </w:pPr>
      <w:r>
        <w:rPr>
          <w:b w:val="0"/>
          <w:sz w:val="22"/>
        </w:rPr>
        <w:t>(a) Gently push the bowel back into the abdomen</w:t>
      </w:r>
    </w:p>
    <w:p>
      <w:pPr>
        <w:spacing w:after="0" w:before="0"/>
      </w:pPr>
      <w:r>
        <w:rPr>
          <w:b w:val="0"/>
          <w:sz w:val="22"/>
        </w:rPr>
        <w:t>(b) Apply a dry sterile dressing</w:t>
      </w:r>
    </w:p>
    <w:p>
      <w:pPr>
        <w:spacing w:after="0" w:before="0"/>
      </w:pPr>
      <w:r>
        <w:rPr>
          <w:b w:val="0"/>
          <w:sz w:val="22"/>
        </w:rPr>
        <w:t>(c) Cover the wound with sterile saline-soaked dressings</w:t>
      </w:r>
    </w:p>
    <w:p>
      <w:pPr>
        <w:spacing w:after="0" w:before="0"/>
      </w:pPr>
      <w:r>
        <w:rPr>
          <w:b w:val="0"/>
          <w:sz w:val="22"/>
        </w:rPr>
        <w:t>(d) Place the client flat and wait for the surgeon</w:t>
      </w:r>
    </w:p>
    <w:p>
      <w:pPr>
        <w:spacing w:after="0" w:before="40"/>
      </w:pPr>
      <w:r>
        <w:rPr>
          <w:b/>
          <w:sz w:val="22"/>
        </w:rPr>
        <w:t>Answer: c</w:t>
      </w:r>
    </w:p>
    <w:p>
      <w:pPr>
        <w:spacing w:after="0" w:before="0"/>
      </w:pPr>
      <w:r>
        <w:rPr>
          <w:b w:val="0"/>
          <w:sz w:val="21"/>
        </w:rPr>
        <w:t>Solution: Eviscerated bowel must be kept moist with sterile saline-soaked gauze to prevent drying and necrosis; it is never pushed back, and the surgeon is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To perform catheterization, the nurse should place a woman in</w:t>
      </w:r>
    </w:p>
    <w:p>
      <w:pPr>
        <w:spacing w:after="0" w:before="0"/>
      </w:pPr>
      <w:r>
        <w:rPr>
          <w:b w:val="0"/>
          <w:sz w:val="22"/>
        </w:rPr>
        <w:t>(a) Sim's position</w:t>
      </w:r>
    </w:p>
    <w:p>
      <w:pPr>
        <w:spacing w:after="0" w:before="0"/>
      </w:pPr>
      <w:r>
        <w:rPr>
          <w:b w:val="0"/>
          <w:sz w:val="22"/>
        </w:rPr>
        <w:t>(b) Lithotomy position</w:t>
      </w:r>
    </w:p>
    <w:p>
      <w:pPr>
        <w:spacing w:after="0" w:before="0"/>
      </w:pPr>
      <w:r>
        <w:rPr>
          <w:b w:val="0"/>
          <w:sz w:val="22"/>
        </w:rPr>
        <w:t>(c) Dorsal recumbent position</w:t>
      </w:r>
    </w:p>
    <w:p>
      <w:pPr>
        <w:spacing w:after="0" w:before="0"/>
      </w:pPr>
      <w:r>
        <w:rPr>
          <w:b w:val="0"/>
          <w:sz w:val="22"/>
        </w:rPr>
        <w:t>(d) Trendelenburg position</w:t>
      </w:r>
    </w:p>
    <w:p>
      <w:pPr>
        <w:spacing w:after="0" w:before="40"/>
      </w:pPr>
      <w:r>
        <w:rPr>
          <w:b/>
          <w:sz w:val="22"/>
        </w:rPr>
        <w:t>Answer: c</w:t>
      </w:r>
    </w:p>
    <w:p>
      <w:pPr>
        <w:spacing w:after="0" w:before="0"/>
      </w:pPr>
      <w:r>
        <w:rPr>
          <w:b w:val="0"/>
          <w:sz w:val="21"/>
        </w:rPr>
        <w:t>Solution: For urinary catheterization, the woman is placed in the dorsal recumbent position.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complication should the on-duty nurse assess for in a patient who presents to the emergency department with a circumferential burn?</w:t>
      </w:r>
    </w:p>
    <w:p>
      <w:pPr>
        <w:spacing w:after="0" w:before="0"/>
      </w:pPr>
      <w:r>
        <w:rPr>
          <w:b w:val="0"/>
          <w:sz w:val="22"/>
        </w:rPr>
        <w:t>(a) Airway obstruction</w:t>
      </w:r>
    </w:p>
    <w:p>
      <w:pPr>
        <w:spacing w:after="0" w:before="0"/>
      </w:pPr>
      <w:r>
        <w:rPr>
          <w:b w:val="0"/>
          <w:sz w:val="22"/>
        </w:rPr>
        <w:t>(b) Poor respiratory effort</w:t>
      </w:r>
    </w:p>
    <w:p>
      <w:pPr>
        <w:spacing w:after="0" w:before="0"/>
      </w:pPr>
      <w:r>
        <w:rPr>
          <w:b w:val="0"/>
          <w:sz w:val="22"/>
        </w:rPr>
        <w:t>(c) Absent peripheral pulse</w:t>
      </w:r>
    </w:p>
    <w:p>
      <w:pPr>
        <w:spacing w:after="0" w:before="0"/>
      </w:pPr>
      <w:r>
        <w:rPr>
          <w:b w:val="0"/>
          <w:sz w:val="22"/>
        </w:rPr>
        <w:t>(d) All of the above</w:t>
      </w:r>
    </w:p>
    <w:p>
      <w:pPr>
        <w:spacing w:after="0" w:before="40"/>
      </w:pPr>
      <w:r>
        <w:rPr>
          <w:b/>
          <w:sz w:val="22"/>
        </w:rPr>
        <w:t>Answer: d</w:t>
      </w:r>
    </w:p>
    <w:p>
      <w:pPr>
        <w:spacing w:after="0" w:before="0"/>
      </w:pPr>
      <w:r>
        <w:rPr>
          <w:b w:val="0"/>
          <w:sz w:val="21"/>
        </w:rPr>
        <w:t>Solution: A circumferential burn can impair breathing and distal circulation; the nurse should assess for airway obstruction, poor respiratory effort and absent peripheral pulse - all of the above.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Visualization of bone or muscle involvement occurs in which stage of burn injury?</w:t>
      </w:r>
    </w:p>
    <w:p>
      <w:pPr>
        <w:spacing w:after="0" w:before="0"/>
      </w:pPr>
      <w:r>
        <w:rPr>
          <w:b w:val="0"/>
          <w:sz w:val="22"/>
        </w:rPr>
        <w:t>(a) 3rd stage</w:t>
      </w:r>
    </w:p>
    <w:p>
      <w:pPr>
        <w:spacing w:after="0" w:before="0"/>
      </w:pPr>
      <w:r>
        <w:rPr>
          <w:b w:val="0"/>
          <w:sz w:val="22"/>
        </w:rPr>
        <w:t>(b) 4th stage</w:t>
      </w:r>
    </w:p>
    <w:p>
      <w:pPr>
        <w:spacing w:after="0" w:before="0"/>
      </w:pPr>
      <w:r>
        <w:rPr>
          <w:b w:val="0"/>
          <w:sz w:val="22"/>
        </w:rPr>
        <w:t>(c) 2nd stage</w:t>
      </w:r>
    </w:p>
    <w:p>
      <w:pPr>
        <w:spacing w:after="0" w:before="0"/>
      </w:pPr>
      <w:r>
        <w:rPr>
          <w:b w:val="0"/>
          <w:sz w:val="22"/>
        </w:rPr>
        <w:t>(d) 1st stage</w:t>
      </w:r>
    </w:p>
    <w:p>
      <w:pPr>
        <w:spacing w:after="0" w:before="40"/>
      </w:pPr>
      <w:r>
        <w:rPr>
          <w:b/>
          <w:sz w:val="22"/>
        </w:rPr>
        <w:t>Answer: b</w:t>
      </w:r>
    </w:p>
    <w:p>
      <w:pPr>
        <w:spacing w:after="0" w:before="0"/>
      </w:pPr>
      <w:r>
        <w:rPr>
          <w:b w:val="0"/>
          <w:sz w:val="21"/>
        </w:rPr>
        <w:t>Solution: Fourth-degree burns extend beyond skin into underlying subcutaneous tissue, muscle, fascia, and exposed bone.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does the golden color of amniotic fluid indicate?</w:t>
      </w:r>
    </w:p>
    <w:p>
      <w:pPr>
        <w:spacing w:after="0" w:before="0"/>
      </w:pPr>
      <w:r>
        <w:rPr>
          <w:b w:val="0"/>
          <w:sz w:val="22"/>
        </w:rPr>
        <w:t>(a) Normal colour</w:t>
      </w:r>
    </w:p>
    <w:p>
      <w:pPr>
        <w:spacing w:after="0" w:before="0"/>
      </w:pPr>
      <w:r>
        <w:rPr>
          <w:b w:val="0"/>
          <w:sz w:val="22"/>
        </w:rPr>
        <w:t>(b) Meconium strain</w:t>
      </w:r>
    </w:p>
    <w:p>
      <w:pPr>
        <w:spacing w:after="0" w:before="0"/>
      </w:pPr>
      <w:r>
        <w:rPr>
          <w:b w:val="0"/>
          <w:sz w:val="22"/>
        </w:rPr>
        <w:t>(c) Rh incompatibility</w:t>
      </w:r>
    </w:p>
    <w:p>
      <w:pPr>
        <w:spacing w:after="0" w:before="0"/>
      </w:pPr>
      <w:r>
        <w:rPr>
          <w:b w:val="0"/>
          <w:sz w:val="22"/>
        </w:rPr>
        <w:t>(d) Post term</w:t>
      </w:r>
    </w:p>
    <w:p>
      <w:pPr>
        <w:spacing w:after="0" w:before="40"/>
      </w:pPr>
      <w:r>
        <w:rPr>
          <w:b/>
          <w:sz w:val="22"/>
        </w:rPr>
        <w:t>Answer: c</w:t>
      </w:r>
    </w:p>
    <w:p>
      <w:pPr>
        <w:spacing w:after="0" w:before="0"/>
      </w:pPr>
      <w:r>
        <w:rPr>
          <w:b w:val="0"/>
          <w:sz w:val="21"/>
        </w:rPr>
        <w:t>Solution: The golden color of amniotic fluid indicates Rh incompatibility (option a). Rh incompatibility occurs when the mother is Rh-negative and the fetus is Rh-positive. When there is a mixing of blood during childbirth, the mother's immune system can produce antibodies against the Rh factor. These antibodies can cause hemolysis of the fetal red blood cells, leading to the release of bilirubin and resulting in a characteristic golden color of the amniotic fluid. Rh incompatibility requires appropriate monitoring and interventions to prevent complications in the newborn. Code of ethics ) Amniotic fluid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Sterilization</w:t>
      </w:r>
    </w:p>
    <w:p>
      <w:pPr>
        <w:spacing w:after="0" w:before="0"/>
      </w:pPr>
      <w:r>
        <w:rPr>
          <w:b w:val="0"/>
          <w:sz w:val="22"/>
        </w:rPr>
        <w:t>(b) Mopping</w:t>
      </w:r>
    </w:p>
    <w:p>
      <w:pPr>
        <w:spacing w:after="0" w:before="0"/>
      </w:pPr>
      <w:r>
        <w:rPr>
          <w:b w:val="0"/>
          <w:sz w:val="22"/>
        </w:rPr>
        <w:t>(c) Disinfection</w:t>
      </w:r>
    </w:p>
    <w:p>
      <w:pPr>
        <w:spacing w:after="0" w:before="0"/>
      </w:pPr>
      <w:r>
        <w:rPr>
          <w:b w:val="0"/>
          <w:sz w:val="22"/>
        </w:rPr>
        <w:t>(d) Scrubbing</w:t>
      </w:r>
    </w:p>
    <w:p>
      <w:pPr>
        <w:spacing w:after="0" w:before="40"/>
      </w:pPr>
      <w:r>
        <w:rPr>
          <w:b/>
          <w:sz w:val="22"/>
        </w:rPr>
        <w:t>Answer: a</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are true about Febrile seizure in children except</w:t>
      </w:r>
    </w:p>
    <w:p>
      <w:pPr>
        <w:spacing w:after="0" w:before="0"/>
      </w:pPr>
      <w:r>
        <w:rPr>
          <w:b w:val="0"/>
          <w:sz w:val="22"/>
        </w:rPr>
        <w:t>(a) Administer PCM as a part of management of Febrile seizure</w:t>
      </w:r>
    </w:p>
    <w:p>
      <w:pPr>
        <w:spacing w:after="0" w:before="0"/>
      </w:pPr>
      <w:r>
        <w:rPr>
          <w:b w:val="0"/>
          <w:sz w:val="22"/>
        </w:rPr>
        <w:t>(b) Cerebral hypoxia is evident</w:t>
      </w:r>
    </w:p>
    <w:p>
      <w:pPr>
        <w:spacing w:after="0" w:before="0"/>
      </w:pPr>
      <w:r>
        <w:rPr>
          <w:b w:val="0"/>
          <w:sz w:val="22"/>
        </w:rPr>
        <w:t>(c) Risk of injury</w:t>
      </w:r>
    </w:p>
    <w:p>
      <w:pPr>
        <w:spacing w:after="0" w:before="0"/>
      </w:pPr>
      <w:r>
        <w:rPr>
          <w:b w:val="0"/>
          <w:sz w:val="22"/>
        </w:rPr>
        <w:t>(d) Young age is not a major risk factor</w:t>
      </w:r>
    </w:p>
    <w:p>
      <w:pPr>
        <w:spacing w:after="0" w:before="40"/>
      </w:pPr>
      <w:r>
        <w:rPr>
          <w:b/>
          <w:sz w:val="22"/>
        </w:rPr>
        <w:t>Answer: d</w:t>
      </w:r>
    </w:p>
    <w:p>
      <w:pPr>
        <w:spacing w:after="0" w:before="0"/>
      </w:pPr>
      <w:r>
        <w:rPr>
          <w:b w:val="0"/>
          <w:sz w:val="21"/>
        </w:rPr>
        <w:t>Solution: Febrile seizures occur in young children (6 months-5 years); age is a recognised risk factor, so 'young age is not a major risk factor' is the false statement.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site for checking capillary refill time is:</w:t>
      </w:r>
    </w:p>
    <w:p>
      <w:pPr>
        <w:spacing w:after="0" w:before="0"/>
      </w:pPr>
      <w:r>
        <w:rPr>
          <w:b w:val="0"/>
          <w:sz w:val="22"/>
        </w:rPr>
        <w:t>(a) Earlobe</w:t>
      </w:r>
    </w:p>
    <w:p>
      <w:pPr>
        <w:spacing w:after="0" w:before="0"/>
      </w:pPr>
      <w:r>
        <w:rPr>
          <w:b w:val="0"/>
          <w:sz w:val="22"/>
        </w:rPr>
        <w:t>(b) Fingernail bed</w:t>
      </w:r>
    </w:p>
    <w:p>
      <w:pPr>
        <w:spacing w:after="0" w:before="0"/>
      </w:pPr>
      <w:r>
        <w:rPr>
          <w:b w:val="0"/>
          <w:sz w:val="22"/>
        </w:rPr>
        <w:t>(c) Sternum</w:t>
      </w:r>
    </w:p>
    <w:p>
      <w:pPr>
        <w:spacing w:after="0" w:before="0"/>
      </w:pPr>
      <w:r>
        <w:rPr>
          <w:b w:val="0"/>
          <w:sz w:val="22"/>
        </w:rPr>
        <w:t>(d) Forehead</w:t>
      </w:r>
    </w:p>
    <w:p>
      <w:pPr>
        <w:spacing w:after="0" w:before="40"/>
      </w:pPr>
      <w:r>
        <w:rPr>
          <w:b/>
          <w:sz w:val="22"/>
        </w:rPr>
        <w:t>Answer: b</w:t>
      </w:r>
    </w:p>
    <w:p>
      <w:pPr>
        <w:spacing w:after="0" w:before="0"/>
      </w:pPr>
      <w:r>
        <w:rPr>
          <w:b w:val="0"/>
          <w:sz w:val="21"/>
        </w:rPr>
        <w:t>Solution: Capillary refill is checked by pressing the fingernail bed; normal refill is less than 3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vaccine should be stored in freezer compartment of the refrigerator?</w:t>
      </w:r>
    </w:p>
    <w:p>
      <w:pPr>
        <w:spacing w:after="0" w:before="0"/>
      </w:pPr>
      <w:r>
        <w:rPr>
          <w:b w:val="0"/>
          <w:sz w:val="22"/>
        </w:rPr>
        <w:t>(a) Hepatitis B</w:t>
      </w:r>
    </w:p>
    <w:p>
      <w:pPr>
        <w:spacing w:after="0" w:before="0"/>
      </w:pPr>
      <w:r>
        <w:rPr>
          <w:b w:val="0"/>
          <w:sz w:val="22"/>
        </w:rPr>
        <w:t>(b) BCG</w:t>
      </w:r>
    </w:p>
    <w:p>
      <w:pPr>
        <w:spacing w:after="0" w:before="0"/>
      </w:pPr>
      <w:r>
        <w:rPr>
          <w:b w:val="0"/>
          <w:sz w:val="22"/>
        </w:rPr>
        <w:t>(c) DPT</w:t>
      </w:r>
    </w:p>
    <w:p>
      <w:pPr>
        <w:spacing w:after="0" w:before="0"/>
      </w:pPr>
      <w:r>
        <w:rPr>
          <w:b w:val="0"/>
          <w:sz w:val="22"/>
        </w:rPr>
        <w:t>(d) Measles</w:t>
      </w:r>
    </w:p>
    <w:p>
      <w:pPr>
        <w:spacing w:after="0" w:before="40"/>
      </w:pPr>
      <w:r>
        <w:rPr>
          <w:b/>
          <w:sz w:val="22"/>
        </w:rPr>
        <w:t>Answer: d</w:t>
      </w:r>
    </w:p>
    <w:p>
      <w:pPr>
        <w:spacing w:after="0" w:before="0"/>
      </w:pPr>
      <w:r>
        <w:rPr>
          <w:b w:val="0"/>
          <w:sz w:val="21"/>
        </w:rPr>
        <w:t>Solution: Measles, mumps, and rubella vaccine, can be stored in a regular freezer at a temperature of -15°C (5°F) to -25°C (-13°F). The varicella (chickenpox) vaccine can also be stored in a freezer, but at a slightly higher temperature range of -50°C (-58°F) to -15°C (5°F).</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placenta previa and bleeding of gastation investigation of choice ?</w:t>
      </w:r>
    </w:p>
    <w:p>
      <w:pPr>
        <w:spacing w:after="0" w:before="0"/>
      </w:pPr>
      <w:r>
        <w:rPr>
          <w:b w:val="0"/>
          <w:sz w:val="22"/>
        </w:rPr>
        <w:t>(a) Pelvic X-ray</w:t>
      </w:r>
    </w:p>
    <w:p>
      <w:pPr>
        <w:spacing w:after="0" w:before="0"/>
      </w:pPr>
      <w:r>
        <w:rPr>
          <w:b w:val="0"/>
          <w:sz w:val="22"/>
        </w:rPr>
        <w:t>(b) Perform USG</w:t>
      </w:r>
    </w:p>
    <w:p>
      <w:pPr>
        <w:spacing w:after="0" w:before="0"/>
      </w:pPr>
      <w:r>
        <w:rPr>
          <w:b w:val="0"/>
          <w:sz w:val="22"/>
        </w:rPr>
        <w:t>(c) CT scan</w:t>
      </w:r>
    </w:p>
    <w:p>
      <w:pPr>
        <w:spacing w:after="0" w:before="0"/>
      </w:pPr>
      <w:r>
        <w:rPr>
          <w:b w:val="0"/>
          <w:sz w:val="22"/>
        </w:rPr>
        <w:t>(d) MRI</w:t>
      </w:r>
    </w:p>
    <w:p>
      <w:pPr>
        <w:spacing w:after="0" w:before="40"/>
      </w:pPr>
      <w:r>
        <w:rPr>
          <w:b/>
          <w:sz w:val="22"/>
        </w:rPr>
        <w:t>Answer: b</w:t>
      </w:r>
    </w:p>
    <w:p>
      <w:pPr>
        <w:spacing w:after="0" w:before="0"/>
      </w:pPr>
      <w:r>
        <w:rPr>
          <w:b w:val="0"/>
          <w:sz w:val="21"/>
        </w:rPr>
        <w:t>Solution: Ultrasonography (USG) is the investigation of choice to confirm the placental location in suspected placenta previa.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correct full form of PDSA?</w:t>
      </w:r>
    </w:p>
    <w:p>
      <w:pPr>
        <w:spacing w:after="0" w:before="0"/>
      </w:pPr>
      <w:r>
        <w:rPr>
          <w:b w:val="0"/>
          <w:sz w:val="22"/>
        </w:rPr>
        <w:t>(a) Plan Do Study Act</w:t>
      </w:r>
    </w:p>
    <w:p>
      <w:pPr>
        <w:spacing w:after="0" w:before="0"/>
      </w:pPr>
      <w:r>
        <w:rPr>
          <w:b w:val="0"/>
          <w:sz w:val="22"/>
        </w:rPr>
        <w:t>(b) Procedure Do Study Act</w:t>
      </w:r>
    </w:p>
    <w:p>
      <w:pPr>
        <w:spacing w:after="0" w:before="0"/>
      </w:pPr>
      <w:r>
        <w:rPr>
          <w:b w:val="0"/>
          <w:sz w:val="22"/>
        </w:rPr>
        <w:t>(c) Plan Do Student Act</w:t>
      </w:r>
    </w:p>
    <w:p>
      <w:pPr>
        <w:spacing w:after="0" w:before="0"/>
      </w:pPr>
      <w:r>
        <w:rPr>
          <w:b w:val="0"/>
          <w:sz w:val="22"/>
        </w:rPr>
        <w:t>(d) None of the above</w:t>
      </w:r>
    </w:p>
    <w:p>
      <w:pPr>
        <w:spacing w:after="0" w:before="40"/>
      </w:pPr>
      <w:r>
        <w:rPr>
          <w:b/>
          <w:sz w:val="22"/>
        </w:rPr>
        <w:t>Answer: a</w:t>
      </w:r>
    </w:p>
    <w:p>
      <w:pPr>
        <w:spacing w:after="0" w:before="0"/>
      </w:pPr>
      <w:r>
        <w:rPr>
          <w:b w:val="0"/>
          <w:sz w:val="21"/>
        </w:rPr>
        <w:t>Solution: The correct full form of PDSA is Plan-Do-Study-Act (option A). PDSA is a quality improvement framework commonly used in healthcare settings. It is a cyclic and iterative process that guides the implementation and evaluation of changes to improve processes or outcomes. The PDSA cycle involves planning the change (Plan), implementing the change (Do), observing and analyzing the results (Study), and acting upon the findings to make necessary adjustments (Act). This systematic approach allows healthcare teams to test and refine changes in a structured manner, leading to continuous improvement in patient care and organizational processes.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vaccines should be given soon after birth?</w:t>
      </w:r>
    </w:p>
    <w:p>
      <w:pPr>
        <w:spacing w:after="0" w:before="0"/>
      </w:pPr>
      <w:r>
        <w:rPr>
          <w:b w:val="0"/>
          <w:sz w:val="22"/>
        </w:rPr>
        <w:t>(a) Hep-B</w:t>
      </w:r>
    </w:p>
    <w:p>
      <w:pPr>
        <w:spacing w:after="0" w:before="0"/>
      </w:pPr>
      <w:r>
        <w:rPr>
          <w:b w:val="0"/>
          <w:sz w:val="22"/>
        </w:rPr>
        <w:t>(b) Diphtheria</w:t>
      </w:r>
    </w:p>
    <w:p>
      <w:pPr>
        <w:spacing w:after="0" w:before="0"/>
      </w:pPr>
      <w:r>
        <w:rPr>
          <w:b w:val="0"/>
          <w:sz w:val="22"/>
        </w:rPr>
        <w:t>(c) OPV</w:t>
      </w:r>
    </w:p>
    <w:p>
      <w:pPr>
        <w:spacing w:after="0" w:before="0"/>
      </w:pPr>
      <w:r>
        <w:rPr>
          <w:b w:val="0"/>
          <w:sz w:val="22"/>
        </w:rPr>
        <w:t>(d) BCG</w:t>
      </w:r>
    </w:p>
    <w:p>
      <w:pPr>
        <w:spacing w:after="0" w:before="40"/>
      </w:pPr>
      <w:r>
        <w:rPr>
          <w:b/>
          <w:sz w:val="22"/>
        </w:rPr>
        <w:t>Answer: a</w:t>
      </w:r>
    </w:p>
    <w:p>
      <w:pPr>
        <w:spacing w:after="0" w:before="0"/>
      </w:pPr>
      <w:r>
        <w:rPr>
          <w:b w:val="0"/>
          <w:sz w:val="21"/>
        </w:rPr>
        <w:t>Solution: The vaccine that should be given soon after birth is the Hepatitis B vaccine (option B). The Hep-B vaccine provides protection against the Hepatitis B virus, which can cause liver disease and chronic infection. Administering the Hep-B vaccine shortly after birth helps to prevent vertical transmission of the virus from an infected mother to her newborn. The first dose of the vaccine is typically given within 24 hours of birth or during the first few weeks of life. Subsequent doses are given according to the recommended vaccination schedule. Vaccinating newborns against Hepatitis B is an effective strategy to prevent infection and its long-term complications.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had a needle stick injury with a hepatitis B infected needle, what is priority nursing action?</w:t>
      </w:r>
    </w:p>
    <w:p>
      <w:pPr>
        <w:spacing w:after="0" w:before="0"/>
      </w:pPr>
      <w:r>
        <w:rPr>
          <w:b w:val="0"/>
          <w:sz w:val="22"/>
        </w:rPr>
        <w:t>(a) Wash puncture site with soap and water</w:t>
      </w:r>
    </w:p>
    <w:p>
      <w:pPr>
        <w:spacing w:after="0" w:before="0"/>
      </w:pPr>
      <w:r>
        <w:rPr>
          <w:b w:val="0"/>
          <w:sz w:val="22"/>
        </w:rPr>
        <w:t>(b) Start PEP treatment immediately</w:t>
      </w:r>
    </w:p>
    <w:p>
      <w:pPr>
        <w:spacing w:after="0" w:before="0"/>
      </w:pPr>
      <w:r>
        <w:rPr>
          <w:b w:val="0"/>
          <w:sz w:val="22"/>
        </w:rPr>
        <w:t>(c) Get a doctor appointment</w:t>
      </w:r>
    </w:p>
    <w:p>
      <w:pPr>
        <w:spacing w:after="0" w:before="0"/>
      </w:pPr>
      <w:r>
        <w:rPr>
          <w:b w:val="0"/>
          <w:sz w:val="22"/>
        </w:rPr>
        <w:t>(d) Collect needle for laboratory check</w:t>
      </w:r>
    </w:p>
    <w:p>
      <w:pPr>
        <w:spacing w:after="0" w:before="40"/>
      </w:pPr>
      <w:r>
        <w:rPr>
          <w:b/>
          <w:sz w:val="22"/>
        </w:rPr>
        <w:t>Answer: a</w:t>
      </w:r>
    </w:p>
    <w:p>
      <w:pPr>
        <w:spacing w:after="0" w:before="0"/>
      </w:pPr>
      <w:r>
        <w:rPr>
          <w:b w:val="0"/>
          <w:sz w:val="21"/>
        </w:rPr>
        <w:t>Solution: After a hepatitis B needle-stick injury, the priority action is to wash the puncture site with soap and water, then report and start PEP.</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sensitive index of the health of a community is</w:t>
      </w:r>
    </w:p>
    <w:p>
      <w:pPr>
        <w:spacing w:after="0" w:before="0"/>
      </w:pPr>
      <w:r>
        <w:rPr>
          <w:b w:val="0"/>
          <w:sz w:val="22"/>
        </w:rPr>
        <w:t>(a) Crude Birth Rate</w:t>
      </w:r>
    </w:p>
    <w:p>
      <w:pPr>
        <w:spacing w:after="0" w:before="0"/>
      </w:pPr>
      <w:r>
        <w:rPr>
          <w:b w:val="0"/>
          <w:sz w:val="22"/>
        </w:rPr>
        <w:t>(b) Crude Death Rate</w:t>
      </w:r>
    </w:p>
    <w:p>
      <w:pPr>
        <w:spacing w:after="0" w:before="0"/>
      </w:pPr>
      <w:r>
        <w:rPr>
          <w:b w:val="0"/>
          <w:sz w:val="22"/>
        </w:rPr>
        <w:t>(c) MMR</w:t>
      </w:r>
    </w:p>
    <w:p>
      <w:pPr>
        <w:spacing w:after="0" w:before="0"/>
      </w:pPr>
      <w:r>
        <w:rPr>
          <w:b w:val="0"/>
          <w:sz w:val="22"/>
        </w:rPr>
        <w:t>(d) Infant Mortality Rate</w:t>
      </w:r>
    </w:p>
    <w:p>
      <w:pPr>
        <w:spacing w:after="0" w:before="40"/>
      </w:pPr>
      <w:r>
        <w:rPr>
          <w:b/>
          <w:sz w:val="22"/>
        </w:rPr>
        <w:t>Answer: d</w:t>
      </w:r>
    </w:p>
    <w:p>
      <w:pPr>
        <w:spacing w:after="0" w:before="0"/>
      </w:pPr>
      <w:r>
        <w:rPr>
          <w:b w:val="0"/>
          <w:sz w:val="21"/>
        </w:rPr>
        <w:t>Solution: Infant mortality rate (IMR) is the most sensitive index of the health of a community.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which of the following vaccine, cold chain must be maintained?</w:t>
      </w:r>
    </w:p>
    <w:p>
      <w:pPr>
        <w:spacing w:after="0" w:before="0"/>
      </w:pPr>
      <w:r>
        <w:rPr>
          <w:b w:val="0"/>
          <w:sz w:val="22"/>
        </w:rPr>
        <w:t>(a) Live vaccine</w:t>
      </w:r>
    </w:p>
    <w:p>
      <w:pPr>
        <w:spacing w:after="0" w:before="0"/>
      </w:pPr>
      <w:r>
        <w:rPr>
          <w:b w:val="0"/>
          <w:sz w:val="22"/>
        </w:rPr>
        <w:t>(b) Serums</w:t>
      </w:r>
    </w:p>
    <w:p>
      <w:pPr>
        <w:spacing w:after="0" w:before="0"/>
      </w:pPr>
      <w:r>
        <w:rPr>
          <w:b w:val="0"/>
          <w:sz w:val="22"/>
        </w:rPr>
        <w:t>(c) Toxoids</w:t>
      </w:r>
    </w:p>
    <w:p>
      <w:pPr>
        <w:spacing w:after="0" w:before="0"/>
      </w:pPr>
      <w:r>
        <w:rPr>
          <w:b w:val="0"/>
          <w:sz w:val="22"/>
        </w:rPr>
        <w:t>(d) Killed vaccine</w:t>
      </w:r>
    </w:p>
    <w:p>
      <w:pPr>
        <w:spacing w:after="0" w:before="40"/>
      </w:pPr>
      <w:r>
        <w:rPr>
          <w:b/>
          <w:sz w:val="22"/>
        </w:rPr>
        <w:t>Answer: a</w:t>
      </w:r>
    </w:p>
    <w:p>
      <w:pPr>
        <w:spacing w:after="0" w:before="0"/>
      </w:pPr>
      <w:r>
        <w:rPr>
          <w:b w:val="0"/>
          <w:sz w:val="21"/>
        </w:rPr>
        <w:t>Solution: In the case of live vaccines, the cold chain must be maintained. Live vaccines contain live attenuated or weakened forms of the pathogens they protect against. Examples of live vaccines include the measles, mumps, and rubella (MMR) vaccine, the oral polio vaccine (OPV), and the yellow fever vaccine. These vaccines are sensitive to heat and can lose their potency if not stored and transported within specific temperature ranges. The cold chain refers to the system of temperature control from the point of manufacture to the point of administration. It involves refrigeration and the use of temperature- monitoring equipment to ensure the vaccines remain viable and effective. "Vaccines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a newly applied below-elbow cast reports severe pain and numbness in the fingers. Which assessment finding requires IMMEDIATE action?</w:t>
      </w:r>
    </w:p>
    <w:p>
      <w:pPr>
        <w:spacing w:after="0" w:before="0"/>
      </w:pPr>
      <w:r>
        <w:rPr>
          <w:b w:val="0"/>
          <w:sz w:val="22"/>
        </w:rPr>
        <w:t>(a) Capillary refill of 4 seconds with dusky fingers</w:t>
      </w:r>
    </w:p>
    <w:p>
      <w:pPr>
        <w:spacing w:after="0" w:before="0"/>
      </w:pPr>
      <w:r>
        <w:rPr>
          <w:b w:val="0"/>
          <w:sz w:val="22"/>
        </w:rPr>
        <w:t>(b) The cast is still damp</w:t>
      </w:r>
    </w:p>
    <w:p>
      <w:pPr>
        <w:spacing w:after="0" w:before="0"/>
      </w:pPr>
      <w:r>
        <w:rPr>
          <w:b w:val="0"/>
          <w:sz w:val="22"/>
        </w:rPr>
        <w:t>(c) Mild itching under the cast</w:t>
      </w:r>
    </w:p>
    <w:p>
      <w:pPr>
        <w:spacing w:after="0" w:before="0"/>
      </w:pPr>
      <w:r>
        <w:rPr>
          <w:b w:val="0"/>
          <w:sz w:val="22"/>
        </w:rPr>
        <w:t>(d) Slight swelling of the fingers</w:t>
      </w:r>
    </w:p>
    <w:p>
      <w:pPr>
        <w:spacing w:after="0" w:before="40"/>
      </w:pPr>
      <w:r>
        <w:rPr>
          <w:b/>
          <w:sz w:val="22"/>
        </w:rPr>
        <w:t>Answer: a</w:t>
      </w:r>
    </w:p>
    <w:p>
      <w:pPr>
        <w:spacing w:after="0" w:before="0"/>
      </w:pPr>
      <w:r>
        <w:rPr>
          <w:b w:val="0"/>
          <w:sz w:val="21"/>
        </w:rPr>
        <w:t>Solution: Prolonged capillary refill with duskiness indicates circulatory compromise/compartment syndrome; the cast must be loosened and the provider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amount of elemental iron in one iron tablet for mother is:</w:t>
      </w:r>
    </w:p>
    <w:p>
      <w:pPr>
        <w:spacing w:after="0" w:before="0"/>
      </w:pPr>
      <w:r>
        <w:rPr>
          <w:b w:val="0"/>
          <w:sz w:val="22"/>
        </w:rPr>
        <w:t>(a) 50 g</w:t>
      </w:r>
    </w:p>
    <w:p>
      <w:pPr>
        <w:spacing w:after="0" w:before="0"/>
      </w:pPr>
      <w:r>
        <w:rPr>
          <w:b w:val="0"/>
          <w:sz w:val="22"/>
        </w:rPr>
        <w:t>(b) 60 g</w:t>
      </w:r>
    </w:p>
    <w:p>
      <w:pPr>
        <w:spacing w:after="0" w:before="0"/>
      </w:pPr>
      <w:r>
        <w:rPr>
          <w:b w:val="0"/>
          <w:sz w:val="22"/>
        </w:rPr>
        <w:t>(c) 60 mg</w:t>
      </w:r>
    </w:p>
    <w:p>
      <w:pPr>
        <w:spacing w:after="0" w:before="0"/>
      </w:pPr>
      <w:r>
        <w:rPr>
          <w:b w:val="0"/>
          <w:sz w:val="22"/>
        </w:rPr>
        <w:t>(d) 50 mg</w:t>
      </w:r>
    </w:p>
    <w:p>
      <w:pPr>
        <w:spacing w:after="0" w:before="40"/>
      </w:pPr>
      <w:r>
        <w:rPr>
          <w:b/>
          <w:sz w:val="22"/>
        </w:rPr>
        <w:t>Answer: c</w:t>
      </w:r>
    </w:p>
    <w:p>
      <w:pPr>
        <w:spacing w:after="0" w:before="0"/>
      </w:pPr>
      <w:r>
        <w:rPr>
          <w:b w:val="0"/>
          <w:sz w:val="21"/>
        </w:rPr>
        <w:t>Solution: Each iron and folic acid tablet given to mothers contains 60 mg of elemental iron (plus 500 mcg folic acid).</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