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The most appropriate nursing intervention for a patient with epistaxis is:</w:t>
      </w:r>
    </w:p>
    <w:p>
      <w:pPr>
        <w:spacing w:after="0" w:before="0"/>
      </w:pPr>
      <w:r>
        <w:rPr>
          <w:b w:val="0"/>
          <w:sz w:val="22"/>
        </w:rPr>
        <w:t>(a) Tilt the head backwards</w:t>
      </w:r>
    </w:p>
    <w:p>
      <w:pPr>
        <w:spacing w:after="0" w:before="0"/>
      </w:pPr>
      <w:r>
        <w:rPr>
          <w:b w:val="0"/>
          <w:sz w:val="22"/>
        </w:rPr>
        <w:t>(b) Insert a cotton plug in the ear</w:t>
      </w:r>
    </w:p>
    <w:p>
      <w:pPr>
        <w:spacing w:after="0" w:before="0"/>
      </w:pPr>
      <w:r>
        <w:rPr>
          <w:b w:val="0"/>
          <w:sz w:val="22"/>
        </w:rPr>
        <w:t>(c) Apply cold pack to the feet</w:t>
      </w:r>
    </w:p>
    <w:p>
      <w:pPr>
        <w:spacing w:after="0" w:before="0"/>
      </w:pPr>
      <w:r>
        <w:rPr>
          <w:b w:val="0"/>
          <w:sz w:val="22"/>
        </w:rPr>
        <w:t>(d) Pinch the nostrils and lean forward</w:t>
      </w:r>
    </w:p>
    <w:p>
      <w:pPr>
        <w:spacing w:after="0" w:before="40"/>
      </w:pPr>
      <w:r>
        <w:rPr>
          <w:b/>
          <w:sz w:val="22"/>
        </w:rPr>
        <w:t>Answer: d</w:t>
      </w:r>
    </w:p>
    <w:p>
      <w:pPr>
        <w:spacing w:after="0" w:before="0"/>
      </w:pPr>
      <w:r>
        <w:rPr>
          <w:b w:val="0"/>
          <w:sz w:val="21"/>
        </w:rPr>
        <w:t>Solution: For epistaxis, pinch the soft part of the nostrils, lean forward and breathe through the mouth; do not tilt the head back.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permanent method of sterilization in male ?</w:t>
      </w:r>
    </w:p>
    <w:p>
      <w:pPr>
        <w:spacing w:after="0" w:before="0"/>
      </w:pPr>
      <w:r>
        <w:rPr>
          <w:b w:val="0"/>
          <w:sz w:val="22"/>
        </w:rPr>
        <w:t>(a) Hystrectomy</w:t>
      </w:r>
    </w:p>
    <w:p>
      <w:pPr>
        <w:spacing w:after="0" w:before="0"/>
      </w:pPr>
      <w:r>
        <w:rPr>
          <w:b w:val="0"/>
          <w:sz w:val="22"/>
        </w:rPr>
        <w:t>(b) Tubectomy</w:t>
      </w:r>
    </w:p>
    <w:p>
      <w:pPr>
        <w:spacing w:after="0" w:before="0"/>
      </w:pPr>
      <w:r>
        <w:rPr>
          <w:b w:val="0"/>
          <w:sz w:val="22"/>
        </w:rPr>
        <w:t>(c) Vasectomy</w:t>
      </w:r>
    </w:p>
    <w:p>
      <w:pPr>
        <w:spacing w:after="0" w:before="0"/>
      </w:pPr>
      <w:r>
        <w:rPr>
          <w:b w:val="0"/>
          <w:sz w:val="22"/>
        </w:rPr>
        <w:t>(d) Barrier method</w:t>
      </w:r>
    </w:p>
    <w:p>
      <w:pPr>
        <w:spacing w:after="0" w:before="40"/>
      </w:pPr>
      <w:r>
        <w:rPr>
          <w:b/>
          <w:sz w:val="22"/>
        </w:rPr>
        <w:t>Answer: c</w:t>
      </w:r>
    </w:p>
    <w:p>
      <w:pPr>
        <w:spacing w:after="0" w:before="0"/>
      </w:pPr>
      <w:r>
        <w:rPr>
          <w:b w:val="0"/>
          <w:sz w:val="21"/>
        </w:rPr>
        <w:t>Solution: Vasectomy is the permanent surgical method of male sterilisation (excision of a segment of each vas deferens).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action when a patient is found unresponsive without a pulse or breathing?</w:t>
      </w:r>
    </w:p>
    <w:p>
      <w:pPr>
        <w:spacing w:after="0" w:before="0"/>
      </w:pPr>
      <w:r>
        <w:rPr>
          <w:b w:val="0"/>
          <w:sz w:val="22"/>
        </w:rPr>
        <w:t>(a) Give 20-22 breaths then assess for 2 minutes</w:t>
      </w:r>
    </w:p>
    <w:p>
      <w:pPr>
        <w:spacing w:after="0" w:before="0"/>
      </w:pPr>
      <w:r>
        <w:rPr>
          <w:b w:val="0"/>
          <w:sz w:val="22"/>
        </w:rPr>
        <w:t>(b) Inform Physician</w:t>
      </w:r>
    </w:p>
    <w:p>
      <w:pPr>
        <w:spacing w:after="0" w:before="0"/>
      </w:pPr>
      <w:r>
        <w:rPr>
          <w:b w:val="0"/>
          <w:sz w:val="22"/>
        </w:rPr>
        <w:t>(c) Give 10-12 breaths then reassess</w:t>
      </w:r>
    </w:p>
    <w:p>
      <w:pPr>
        <w:spacing w:after="0" w:before="0"/>
      </w:pPr>
      <w:r>
        <w:rPr>
          <w:b w:val="0"/>
          <w:sz w:val="22"/>
        </w:rPr>
        <w:t>(d) Start CPR</w:t>
      </w:r>
    </w:p>
    <w:p>
      <w:pPr>
        <w:spacing w:after="0" w:before="40"/>
      </w:pPr>
      <w:r>
        <w:rPr>
          <w:b/>
          <w:sz w:val="22"/>
        </w:rPr>
        <w:t>Answer: d</w:t>
      </w:r>
    </w:p>
    <w:p>
      <w:pPr>
        <w:spacing w:after="0" w:before="0"/>
      </w:pPr>
      <w:r>
        <w:rPr>
          <w:b w:val="0"/>
          <w:sz w:val="21"/>
        </w:rPr>
        <w:t>Solution: The immediate action that should be taken when a patient is found unresponsive without a pulse or breathing is to start CPR (cardiopulmonary resuscitation) immediately. According to the American Heart Association (AHA), CPR is a series of lifesaving steps that should be initiated as soon as possible to help the victim until advanced medical care arrives. The steps include chest compressions, rescue breaths, and defibrillation (if available). Calling for emergency medical services should also be done at the same time as starting CPR. The AHA emphasizes that early and effective CPR can double or triple the chances of survival in cardiac arrest cases.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IV Potassium Chloride (KCl) correction, which ECG change indicates hyperkalemia requiring immediate stoppage of infusion?</w:t>
      </w:r>
    </w:p>
    <w:p>
      <w:pPr>
        <w:spacing w:after="0" w:before="0"/>
      </w:pPr>
      <w:r>
        <w:rPr>
          <w:b w:val="0"/>
          <w:sz w:val="22"/>
        </w:rPr>
        <w:t>(a) Depressed ST segment</w:t>
      </w:r>
    </w:p>
    <w:p>
      <w:pPr>
        <w:spacing w:after="0" w:before="0"/>
      </w:pPr>
      <w:r>
        <w:rPr>
          <w:b w:val="0"/>
          <w:sz w:val="22"/>
        </w:rPr>
        <w:t>(b) Tall peaked T waves</w:t>
      </w:r>
    </w:p>
    <w:p>
      <w:pPr>
        <w:spacing w:after="0" w:before="0"/>
      </w:pPr>
      <w:r>
        <w:rPr>
          <w:b w:val="0"/>
          <w:sz w:val="22"/>
        </w:rPr>
        <w:t>(c) Prominent U wave</w:t>
      </w:r>
    </w:p>
    <w:p>
      <w:pPr>
        <w:spacing w:after="0" w:before="0"/>
      </w:pPr>
      <w:r>
        <w:rPr>
          <w:b w:val="0"/>
          <w:sz w:val="22"/>
        </w:rPr>
        <w:t>(d) Shallow inverted T wave</w:t>
      </w:r>
    </w:p>
    <w:p>
      <w:pPr>
        <w:spacing w:after="0" w:before="40"/>
      </w:pPr>
      <w:r>
        <w:rPr>
          <w:b/>
          <w:sz w:val="22"/>
        </w:rPr>
        <w:t>Answer: b</w:t>
      </w:r>
    </w:p>
    <w:p>
      <w:pPr>
        <w:spacing w:after="0" w:before="0"/>
      </w:pPr>
      <w:r>
        <w:rPr>
          <w:b w:val="0"/>
          <w:sz w:val="21"/>
        </w:rPr>
        <w:t>Solution: Tall peaked T waves are the earliest ECG sign of hyperkalemia. Immediate cessation of IV potassium infusion is required to avoid lethal dysrhythmias.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Electroconvulsive therapy (ECT) is most commonly indicated in:</w:t>
      </w:r>
    </w:p>
    <w:p>
      <w:pPr>
        <w:spacing w:after="0" w:before="0"/>
      </w:pPr>
      <w:r>
        <w:rPr>
          <w:b w:val="0"/>
          <w:sz w:val="22"/>
        </w:rPr>
        <w:t>(a) Mild anxiety</w:t>
      </w:r>
    </w:p>
    <w:p>
      <w:pPr>
        <w:spacing w:after="0" w:before="0"/>
      </w:pPr>
      <w:r>
        <w:rPr>
          <w:b w:val="0"/>
          <w:sz w:val="22"/>
        </w:rPr>
        <w:t>(b) Somatoform disorder</w:t>
      </w:r>
    </w:p>
    <w:p>
      <w:pPr>
        <w:spacing w:after="0" w:before="0"/>
      </w:pPr>
      <w:r>
        <w:rPr>
          <w:b w:val="0"/>
          <w:sz w:val="22"/>
        </w:rPr>
        <w:t>(c) Simple phobia</w:t>
      </w:r>
    </w:p>
    <w:p>
      <w:pPr>
        <w:spacing w:after="0" w:before="0"/>
      </w:pPr>
      <w:r>
        <w:rPr>
          <w:b w:val="0"/>
          <w:sz w:val="22"/>
        </w:rPr>
        <w:t>(d) Severe depression with suicidal risk</w:t>
      </w:r>
    </w:p>
    <w:p>
      <w:pPr>
        <w:spacing w:after="0" w:before="40"/>
      </w:pPr>
      <w:r>
        <w:rPr>
          <w:b/>
          <w:sz w:val="22"/>
        </w:rPr>
        <w:t>Answer: d</w:t>
      </w:r>
    </w:p>
    <w:p>
      <w:pPr>
        <w:spacing w:after="0" w:before="0"/>
      </w:pPr>
      <w:r>
        <w:rPr>
          <w:b w:val="0"/>
          <w:sz w:val="21"/>
        </w:rPr>
        <w:t>Solution: ECT is used in severe, resistant depression, especially with suicidal risk, and in catatonia.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burn patient with 30% TBSA burns in the first 24 hours should be monitored most closely for:</w:t>
      </w:r>
    </w:p>
    <w:p>
      <w:pPr>
        <w:spacing w:after="0" w:before="0"/>
      </w:pPr>
      <w:r>
        <w:rPr>
          <w:b w:val="0"/>
          <w:sz w:val="22"/>
        </w:rPr>
        <w:t>(a) Hypovolaemic shock</w:t>
      </w:r>
    </w:p>
    <w:p>
      <w:pPr>
        <w:spacing w:after="0" w:before="0"/>
      </w:pPr>
      <w:r>
        <w:rPr>
          <w:b w:val="0"/>
          <w:sz w:val="22"/>
        </w:rPr>
        <w:t>(b) Hyperkalemia only</w:t>
      </w:r>
    </w:p>
    <w:p>
      <w:pPr>
        <w:spacing w:after="0" w:before="0"/>
      </w:pPr>
      <w:r>
        <w:rPr>
          <w:b w:val="0"/>
          <w:sz w:val="22"/>
        </w:rPr>
        <w:t>(c) Constipation</w:t>
      </w:r>
    </w:p>
    <w:p>
      <w:pPr>
        <w:spacing w:after="0" w:before="0"/>
      </w:pPr>
      <w:r>
        <w:rPr>
          <w:b w:val="0"/>
          <w:sz w:val="22"/>
        </w:rPr>
        <w:t>(d) Hyperglycemia</w:t>
      </w:r>
    </w:p>
    <w:p>
      <w:pPr>
        <w:spacing w:after="0" w:before="40"/>
      </w:pPr>
      <w:r>
        <w:rPr>
          <w:b/>
          <w:sz w:val="22"/>
        </w:rPr>
        <w:t>Answer: a</w:t>
      </w:r>
    </w:p>
    <w:p>
      <w:pPr>
        <w:spacing w:after="0" w:before="0"/>
      </w:pPr>
      <w:r>
        <w:rPr>
          <w:b w:val="0"/>
          <w:sz w:val="21"/>
        </w:rPr>
        <w:t>Solution: Fluid shift from the intravascular compartment causes hypovolaemic shock in the first 24-48 hours after burns.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hypocalcemia is:</w:t>
      </w:r>
    </w:p>
    <w:p>
      <w:pPr>
        <w:spacing w:after="0" w:before="0"/>
      </w:pPr>
      <w:r>
        <w:rPr>
          <w:b w:val="0"/>
          <w:sz w:val="22"/>
        </w:rPr>
        <w:t>(a) Twitching</w:t>
      </w:r>
    </w:p>
    <w:p>
      <w:pPr>
        <w:spacing w:after="0" w:before="0"/>
      </w:pPr>
      <w:r>
        <w:rPr>
          <w:b w:val="0"/>
          <w:sz w:val="22"/>
        </w:rPr>
        <w:t>(b) Negative Chvostek's sign</w:t>
      </w:r>
    </w:p>
    <w:p>
      <w:pPr>
        <w:spacing w:after="0" w:before="0"/>
      </w:pPr>
      <w:r>
        <w:rPr>
          <w:b w:val="0"/>
          <w:sz w:val="22"/>
        </w:rPr>
        <w:t>(c) Weakness</w:t>
      </w:r>
    </w:p>
    <w:p>
      <w:pPr>
        <w:spacing w:after="0" w:before="0"/>
      </w:pPr>
      <w:r>
        <w:rPr>
          <w:b w:val="0"/>
          <w:sz w:val="22"/>
        </w:rPr>
        <w:t>(d) Exaggerated DTRs</w:t>
      </w:r>
    </w:p>
    <w:p>
      <w:pPr>
        <w:spacing w:after="0" w:before="40"/>
      </w:pPr>
      <w:r>
        <w:rPr>
          <w:b/>
          <w:sz w:val="22"/>
        </w:rPr>
        <w:t>Answer: a</w:t>
      </w:r>
    </w:p>
    <w:p>
      <w:pPr>
        <w:spacing w:after="0" w:before="0"/>
      </w:pPr>
      <w:r>
        <w:rPr>
          <w:b w:val="0"/>
          <w:sz w:val="21"/>
        </w:rPr>
        <w:t>Solution: Twitching (neuromuscular irritability) is the earliest sign of hypocalcemia.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bone is known as breast bone?</w:t>
      </w:r>
    </w:p>
    <w:p>
      <w:pPr>
        <w:spacing w:after="0" w:before="0"/>
      </w:pPr>
      <w:r>
        <w:rPr>
          <w:b w:val="0"/>
          <w:sz w:val="22"/>
        </w:rPr>
        <w:t>(a) Humerus</w:t>
      </w:r>
    </w:p>
    <w:p>
      <w:pPr>
        <w:spacing w:after="0" w:before="0"/>
      </w:pPr>
      <w:r>
        <w:rPr>
          <w:b w:val="0"/>
          <w:sz w:val="22"/>
        </w:rPr>
        <w:t>(b) Ribs</w:t>
      </w:r>
    </w:p>
    <w:p>
      <w:pPr>
        <w:spacing w:after="0" w:before="0"/>
      </w:pPr>
      <w:r>
        <w:rPr>
          <w:b w:val="0"/>
          <w:sz w:val="22"/>
        </w:rPr>
        <w:t>(c) Femur</w:t>
      </w:r>
    </w:p>
    <w:p>
      <w:pPr>
        <w:spacing w:after="0" w:before="0"/>
      </w:pPr>
      <w:r>
        <w:rPr>
          <w:b w:val="0"/>
          <w:sz w:val="22"/>
        </w:rPr>
        <w:t>(d) Sternum</w:t>
      </w:r>
    </w:p>
    <w:p>
      <w:pPr>
        <w:spacing w:after="0" w:before="40"/>
      </w:pPr>
      <w:r>
        <w:rPr>
          <w:b/>
          <w:sz w:val="22"/>
        </w:rPr>
        <w:t>Answer: d</w:t>
      </w:r>
    </w:p>
    <w:p>
      <w:pPr>
        <w:spacing w:after="0" w:before="0"/>
      </w:pPr>
      <w:r>
        <w:rPr>
          <w:b w:val="0"/>
          <w:sz w:val="21"/>
        </w:rPr>
        <w:t>Solution: The bone known as the breastbone is the sternum (option B). The sternum is a flat bone located in the center of the chest. It is connected to the ribs through cartilage and forms the anterior part of the rib cage. The sternum consists of three parts: the manubrium, the body, and the xiphoid process. The sternum provides protection to vital organs in the chest, including the heart and lungs. It also serves as an attachment site for various muscles involved in respiration and movement of the upper limbs.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preeclampsia complains of a severe frontal headache and epigastric pain. What is the priority nursing action?</w:t>
      </w:r>
    </w:p>
    <w:p>
      <w:pPr>
        <w:spacing w:after="0" w:before="0"/>
      </w:pPr>
      <w:r>
        <w:rPr>
          <w:b w:val="0"/>
          <w:sz w:val="22"/>
        </w:rPr>
        <w:t>(a) Prepare to administer magnesium sulfate for seizure prophylaxis</w:t>
      </w:r>
    </w:p>
    <w:p>
      <w:pPr>
        <w:spacing w:after="0" w:before="0"/>
      </w:pPr>
      <w:r>
        <w:rPr>
          <w:b w:val="0"/>
          <w:sz w:val="22"/>
        </w:rPr>
        <w:t>(b) Dim the lights and limit visitors</w:t>
      </w:r>
    </w:p>
    <w:p>
      <w:pPr>
        <w:spacing w:after="0" w:before="0"/>
      </w:pPr>
      <w:r>
        <w:rPr>
          <w:b w:val="0"/>
          <w:sz w:val="22"/>
        </w:rPr>
        <w:t>(c) Check deep tendon reflexes</w:t>
      </w:r>
    </w:p>
    <w:p>
      <w:pPr>
        <w:spacing w:after="0" w:before="0"/>
      </w:pPr>
      <w:r>
        <w:rPr>
          <w:b w:val="0"/>
          <w:sz w:val="22"/>
        </w:rPr>
        <w:t>(d) Record the blood pressure every hour</w:t>
      </w:r>
    </w:p>
    <w:p>
      <w:pPr>
        <w:spacing w:after="0" w:before="40"/>
      </w:pPr>
      <w:r>
        <w:rPr>
          <w:b/>
          <w:sz w:val="22"/>
        </w:rPr>
        <w:t>Answer: a</w:t>
      </w:r>
    </w:p>
    <w:p>
      <w:pPr>
        <w:spacing w:after="0" w:before="0"/>
      </w:pPr>
      <w:r>
        <w:rPr>
          <w:b w:val="0"/>
          <w:sz w:val="21"/>
        </w:rPr>
        <w:t>Solution: Severe headache with epigastric pain are warning signs of impending eclampsia; magnesium sulfate is given to prevent seizures while the provider is notified.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on fall precautions insists on getting out of bed to use the bathroom. What is the priority nursing action?</w:t>
      </w:r>
    </w:p>
    <w:p>
      <w:pPr>
        <w:spacing w:after="0" w:before="0"/>
      </w:pPr>
      <w:r>
        <w:rPr>
          <w:b w:val="0"/>
          <w:sz w:val="22"/>
        </w:rPr>
        <w:t>(a) Assist the client to the bathroom immediately</w:t>
      </w:r>
    </w:p>
    <w:p>
      <w:pPr>
        <w:spacing w:after="0" w:before="0"/>
      </w:pPr>
      <w:r>
        <w:rPr>
          <w:b w:val="0"/>
          <w:sz w:val="22"/>
        </w:rPr>
        <w:t>(b) Place the bed in the lowest position and leave</w:t>
      </w:r>
    </w:p>
    <w:p>
      <w:pPr>
        <w:spacing w:after="0" w:before="0"/>
      </w:pPr>
      <w:r>
        <w:rPr>
          <w:b w:val="0"/>
          <w:sz w:val="22"/>
        </w:rPr>
        <w:t>(c) Apply a vest restraint</w:t>
      </w:r>
    </w:p>
    <w:p>
      <w:pPr>
        <w:spacing w:after="0" w:before="0"/>
      </w:pPr>
      <w:r>
        <w:rPr>
          <w:b w:val="0"/>
          <w:sz w:val="22"/>
        </w:rPr>
        <w:t>(d) Tell the client to use the call bell when ready</w:t>
      </w:r>
    </w:p>
    <w:p>
      <w:pPr>
        <w:spacing w:after="0" w:before="40"/>
      </w:pPr>
      <w:r>
        <w:rPr>
          <w:b/>
          <w:sz w:val="22"/>
        </w:rPr>
        <w:t>Answer: a</w:t>
      </w:r>
    </w:p>
    <w:p>
      <w:pPr>
        <w:spacing w:after="0" w:before="0"/>
      </w:pPr>
      <w:r>
        <w:rPr>
          <w:b w:val="0"/>
          <w:sz w:val="21"/>
        </w:rPr>
        <w:t>Solution: The priority is to respond to the client's need safely; assisting the client to the bathroom prevents the high-risk unsupervised transfer that causes most falls.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Choose the correct statement for Trousseau's sign.</w:t>
      </w:r>
    </w:p>
    <w:p>
      <w:pPr>
        <w:spacing w:after="0" w:before="0"/>
      </w:pPr>
      <w:r>
        <w:rPr>
          <w:b w:val="0"/>
          <w:sz w:val="22"/>
        </w:rPr>
        <w:t>(a) Tremor, rigidity, bradykinesia and hypokinesia</w:t>
      </w:r>
    </w:p>
    <w:p>
      <w:pPr>
        <w:spacing w:after="0" w:before="0"/>
      </w:pPr>
      <w:r>
        <w:rPr>
          <w:b w:val="0"/>
          <w:sz w:val="22"/>
        </w:rPr>
        <w:t>(b) Sudden and severe attacks of pain, swelling, redness and tenderness in the joints.</w:t>
      </w:r>
    </w:p>
    <w:p>
      <w:pPr>
        <w:spacing w:after="0" w:before="0"/>
      </w:pPr>
      <w:r>
        <w:rPr>
          <w:b w:val="0"/>
          <w:sz w:val="22"/>
        </w:rPr>
        <w:t>(c) Twitching of facial muscles when the facial nerve is tapped</w:t>
      </w:r>
    </w:p>
    <w:p>
      <w:pPr>
        <w:spacing w:after="0" w:before="0"/>
      </w:pPr>
      <w:r>
        <w:rPr>
          <w:b w:val="0"/>
          <w:sz w:val="22"/>
        </w:rPr>
        <w:t>(d) Ischemia induces carpal spasm by inflating the blood pressure cuff</w:t>
      </w:r>
    </w:p>
    <w:p>
      <w:pPr>
        <w:spacing w:after="0" w:before="40"/>
      </w:pPr>
      <w:r>
        <w:rPr>
          <w:b/>
          <w:sz w:val="22"/>
        </w:rPr>
        <w:t>Answer: d</w:t>
      </w:r>
    </w:p>
    <w:p>
      <w:pPr>
        <w:spacing w:after="0" w:before="0"/>
      </w:pPr>
      <w:r>
        <w:rPr>
          <w:b w:val="0"/>
          <w:sz w:val="21"/>
        </w:rPr>
        <w:t>Solution: Trousseau's sign - carpal spasm induced by inflating a blood-pressure cuff above systolic pressure - indicates latent hypocalcemia.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EARLIEST sign of respiratory distress in an infant?</w:t>
      </w:r>
    </w:p>
    <w:p>
      <w:pPr>
        <w:spacing w:after="0" w:before="0"/>
      </w:pPr>
      <w:r>
        <w:rPr>
          <w:b w:val="0"/>
          <w:sz w:val="22"/>
        </w:rPr>
        <w:t>(a) Gasping respirations</w:t>
      </w:r>
    </w:p>
    <w:p>
      <w:pPr>
        <w:spacing w:after="0" w:before="0"/>
      </w:pPr>
      <w:r>
        <w:rPr>
          <w:b w:val="0"/>
          <w:sz w:val="22"/>
        </w:rPr>
        <w:t>(b) Bradycardia</w:t>
      </w:r>
    </w:p>
    <w:p>
      <w:pPr>
        <w:spacing w:after="0" w:before="0"/>
      </w:pPr>
      <w:r>
        <w:rPr>
          <w:b w:val="0"/>
          <w:sz w:val="22"/>
        </w:rPr>
        <w:t>(c) Nasal flaring</w:t>
      </w:r>
    </w:p>
    <w:p>
      <w:pPr>
        <w:spacing w:after="0" w:before="0"/>
      </w:pPr>
      <w:r>
        <w:rPr>
          <w:b w:val="0"/>
          <w:sz w:val="22"/>
        </w:rPr>
        <w:t>(d) Cyanosis</w:t>
      </w:r>
    </w:p>
    <w:p>
      <w:pPr>
        <w:spacing w:after="0" w:before="40"/>
      </w:pPr>
      <w:r>
        <w:rPr>
          <w:b/>
          <w:sz w:val="22"/>
        </w:rPr>
        <w:t>Answer: c</w:t>
      </w:r>
    </w:p>
    <w:p>
      <w:pPr>
        <w:spacing w:after="0" w:before="0"/>
      </w:pPr>
      <w:r>
        <w:rPr>
          <w:b w:val="0"/>
          <w:sz w:val="21"/>
        </w:rPr>
        <w:t>Solution: Nasal flaring, grunting, retractions and tachypnea appear early; cyanosis and bradycardia are late, pre-arrest signs.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female came to hospital with a breast nodule of size 2 c.m which is freely movable, palpable but no nipple discharge is seen from the breast. What is the best investigation for this condition?</w:t>
      </w:r>
    </w:p>
    <w:p>
      <w:pPr>
        <w:spacing w:after="0" w:before="0"/>
      </w:pPr>
      <w:r>
        <w:rPr>
          <w:b w:val="0"/>
          <w:sz w:val="22"/>
        </w:rPr>
        <w:t>(a) Breast U.S.G</w:t>
      </w:r>
    </w:p>
    <w:p>
      <w:pPr>
        <w:spacing w:after="0" w:before="0"/>
      </w:pPr>
      <w:r>
        <w:rPr>
          <w:b w:val="0"/>
          <w:sz w:val="22"/>
        </w:rPr>
        <w:t>(b) Core needle biopsy</w:t>
      </w:r>
    </w:p>
    <w:p>
      <w:pPr>
        <w:spacing w:after="0" w:before="0"/>
      </w:pPr>
      <w:r>
        <w:rPr>
          <w:b w:val="0"/>
          <w:sz w:val="22"/>
        </w:rPr>
        <w:t>(c) Mammography</w:t>
      </w:r>
    </w:p>
    <w:p>
      <w:pPr>
        <w:spacing w:after="0" w:before="0"/>
      </w:pPr>
      <w:r>
        <w:rPr>
          <w:b w:val="0"/>
          <w:sz w:val="22"/>
        </w:rPr>
        <w:t>(d) F.N.A.C</w:t>
      </w:r>
    </w:p>
    <w:p>
      <w:pPr>
        <w:spacing w:after="0" w:before="40"/>
      </w:pPr>
      <w:r>
        <w:rPr>
          <w:b/>
          <w:sz w:val="22"/>
        </w:rPr>
        <w:t>Answer: c</w:t>
      </w:r>
    </w:p>
    <w:p>
      <w:pPr>
        <w:spacing w:after="0" w:before="0"/>
      </w:pPr>
      <w:r>
        <w:rPr>
          <w:b w:val="0"/>
          <w:sz w:val="21"/>
        </w:rPr>
        <w:t>Solution: A movable, palpable breast nodule with skin retraction is investigated with mammography.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can be frozen?</w:t>
      </w:r>
    </w:p>
    <w:p>
      <w:pPr>
        <w:spacing w:after="0" w:before="0"/>
      </w:pPr>
      <w:r>
        <w:rPr>
          <w:b w:val="0"/>
          <w:sz w:val="22"/>
        </w:rPr>
        <w:t>(a) DPT/DT</w:t>
      </w:r>
    </w:p>
    <w:p>
      <w:pPr>
        <w:spacing w:after="0" w:before="0"/>
      </w:pPr>
      <w:r>
        <w:rPr>
          <w:b w:val="0"/>
          <w:sz w:val="22"/>
        </w:rPr>
        <w:t>(b) MMR</w:t>
      </w:r>
    </w:p>
    <w:p>
      <w:pPr>
        <w:spacing w:after="0" w:before="0"/>
      </w:pPr>
      <w:r>
        <w:rPr>
          <w:b w:val="0"/>
          <w:sz w:val="22"/>
        </w:rPr>
        <w:t>(c) polio</w:t>
      </w:r>
    </w:p>
    <w:p>
      <w:pPr>
        <w:spacing w:after="0" w:before="0"/>
      </w:pPr>
      <w:r>
        <w:rPr>
          <w:b w:val="0"/>
          <w:sz w:val="22"/>
        </w:rPr>
        <w:t>(d) BCG</w:t>
      </w:r>
    </w:p>
    <w:p>
      <w:pPr>
        <w:spacing w:after="0" w:before="40"/>
      </w:pPr>
      <w:r>
        <w:rPr>
          <w:b/>
          <w:sz w:val="22"/>
        </w:rPr>
        <w:t>Answer: b</w:t>
      </w:r>
    </w:p>
    <w:p>
      <w:pPr>
        <w:spacing w:after="0" w:before="0"/>
      </w:pPr>
      <w:r>
        <w:rPr>
          <w:b w:val="0"/>
          <w:sz w:val="21"/>
        </w:rPr>
        <w:t>Solution: Freeze-dried vaccines such as MMR can be stored frozen, whereas liquid vaccines containing adjuvants (DPT, TT, Hepatitis B) must never be frozen.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taking digoxin reports nausea, vomiting and seeing yellow-green halos around lights. What should the nurse do FIRST?</w:t>
      </w:r>
    </w:p>
    <w:p>
      <w:pPr>
        <w:spacing w:after="0" w:before="0"/>
      </w:pPr>
      <w:r>
        <w:rPr>
          <w:b w:val="0"/>
          <w:sz w:val="22"/>
        </w:rPr>
        <w:t>(a) Give the digoxin with food</w:t>
      </w:r>
    </w:p>
    <w:p>
      <w:pPr>
        <w:spacing w:after="0" w:before="0"/>
      </w:pPr>
      <w:r>
        <w:rPr>
          <w:b w:val="0"/>
          <w:sz w:val="22"/>
        </w:rPr>
        <w:t>(b) Check the digoxin level and give the dose</w:t>
      </w:r>
    </w:p>
    <w:p>
      <w:pPr>
        <w:spacing w:after="0" w:before="0"/>
      </w:pPr>
      <w:r>
        <w:rPr>
          <w:b w:val="0"/>
          <w:sz w:val="22"/>
        </w:rPr>
        <w:t>(c) Document the findings as expected side effects</w:t>
      </w:r>
    </w:p>
    <w:p>
      <w:pPr>
        <w:spacing w:after="0" w:before="0"/>
      </w:pPr>
      <w:r>
        <w:rPr>
          <w:b w:val="0"/>
          <w:sz w:val="22"/>
        </w:rPr>
        <w:t>(d) Hold the digoxin and notify the health care provider</w:t>
      </w:r>
    </w:p>
    <w:p>
      <w:pPr>
        <w:spacing w:after="0" w:before="40"/>
      </w:pPr>
      <w:r>
        <w:rPr>
          <w:b/>
          <w:sz w:val="22"/>
        </w:rPr>
        <w:t>Answer: d</w:t>
      </w:r>
    </w:p>
    <w:p>
      <w:pPr>
        <w:spacing w:after="0" w:before="0"/>
      </w:pPr>
      <w:r>
        <w:rPr>
          <w:b w:val="0"/>
          <w:sz w:val="21"/>
        </w:rPr>
        <w:t>Solution: Nausea, vomiting and visual halos are classic digoxin toxicity; the drug is withheld and the provider notified (digoxin level and potassium are then checked).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is on chemotherapy. The nurse should teacher the mother about the following; except:</w:t>
      </w:r>
    </w:p>
    <w:p>
      <w:pPr>
        <w:spacing w:after="0" w:before="0"/>
      </w:pPr>
      <w:r>
        <w:rPr>
          <w:b w:val="0"/>
          <w:sz w:val="22"/>
        </w:rPr>
        <w:t>(a) Brush two times</w:t>
      </w:r>
    </w:p>
    <w:p>
      <w:pPr>
        <w:spacing w:after="0" w:before="0"/>
      </w:pPr>
      <w:r>
        <w:rPr>
          <w:b w:val="0"/>
          <w:sz w:val="22"/>
        </w:rPr>
        <w:t>(b) Avoid crowded place</w:t>
      </w:r>
    </w:p>
    <w:p>
      <w:pPr>
        <w:spacing w:after="0" w:before="0"/>
      </w:pPr>
      <w:r>
        <w:rPr>
          <w:b w:val="0"/>
          <w:sz w:val="22"/>
        </w:rPr>
        <w:t>(c) Sitz bath</w:t>
      </w:r>
    </w:p>
    <w:p>
      <w:pPr>
        <w:spacing w:after="0" w:before="0"/>
      </w:pPr>
      <w:r>
        <w:rPr>
          <w:b w:val="0"/>
          <w:sz w:val="22"/>
        </w:rPr>
        <w:t>(d) Hand washing</w:t>
      </w:r>
    </w:p>
    <w:p>
      <w:pPr>
        <w:spacing w:after="0" w:before="40"/>
      </w:pPr>
      <w:r>
        <w:rPr>
          <w:b/>
          <w:sz w:val="22"/>
        </w:rPr>
        <w:t>Answer: c</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is kept in freezer compartment in refrigerator?</w:t>
      </w:r>
    </w:p>
    <w:p>
      <w:pPr>
        <w:spacing w:after="0" w:before="0"/>
      </w:pPr>
      <w:r>
        <w:rPr>
          <w:b w:val="0"/>
          <w:sz w:val="22"/>
        </w:rPr>
        <w:t>(a) Measles</w:t>
      </w:r>
    </w:p>
    <w:p>
      <w:pPr>
        <w:spacing w:after="0" w:before="0"/>
      </w:pPr>
      <w:r>
        <w:rPr>
          <w:b w:val="0"/>
          <w:sz w:val="22"/>
        </w:rPr>
        <w:t>(b) DPT</w:t>
      </w:r>
    </w:p>
    <w:p>
      <w:pPr>
        <w:spacing w:after="0" w:before="0"/>
      </w:pPr>
      <w:r>
        <w:rPr>
          <w:b w:val="0"/>
          <w:sz w:val="22"/>
        </w:rPr>
        <w:t>(c) T.T</w:t>
      </w:r>
    </w:p>
    <w:p>
      <w:pPr>
        <w:spacing w:after="0" w:before="0"/>
      </w:pPr>
      <w:r>
        <w:rPr>
          <w:b w:val="0"/>
          <w:sz w:val="22"/>
        </w:rPr>
        <w:t>(d) Hepatitis B</w:t>
      </w:r>
    </w:p>
    <w:p>
      <w:pPr>
        <w:spacing w:after="0" w:before="40"/>
      </w:pPr>
      <w:r>
        <w:rPr>
          <w:b/>
          <w:sz w:val="22"/>
        </w:rPr>
        <w:t>Answer: c</w:t>
      </w:r>
    </w:p>
    <w:p>
      <w:pPr>
        <w:spacing w:after="0" w:before="0"/>
      </w:pPr>
      <w:r>
        <w:rPr>
          <w:b w:val="0"/>
          <w:sz w:val="21"/>
        </w:rPr>
        <w:t>Solution: The vaccine that is kept in the freezer compartment of a refrigerator is the Measles vaccine. Measles vaccine, like many other live vaccines, needs to be stored at low temperatures to maintain its efficacy. The recommended storage temperature for the measles vaccine is between -50°C and -15°C. This temperature range ensures that the vaccine remains stable and retains its potency. The freezer compartment of a refrigerator provides the necessary cold storage for vaccines that require ultra-low temperatures. Important instruments in OBE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clinical features is not typically seen in delirium?</w:t>
      </w:r>
    </w:p>
    <w:p>
      <w:pPr>
        <w:spacing w:after="0" w:before="0"/>
      </w:pPr>
      <w:r>
        <w:rPr>
          <w:b w:val="0"/>
          <w:sz w:val="22"/>
        </w:rPr>
        <w:t>(a) Disturb the Sleep wake cycle</w:t>
      </w:r>
    </w:p>
    <w:p>
      <w:pPr>
        <w:spacing w:after="0" w:before="0"/>
      </w:pPr>
      <w:r>
        <w:rPr>
          <w:b w:val="0"/>
          <w:sz w:val="22"/>
        </w:rPr>
        <w:t>(b) Sun-downer syndrome</w:t>
      </w:r>
    </w:p>
    <w:p>
      <w:pPr>
        <w:spacing w:after="0" w:before="0"/>
      </w:pPr>
      <w:r>
        <w:rPr>
          <w:b w:val="0"/>
          <w:sz w:val="22"/>
        </w:rPr>
        <w:t>(c) Agitation</w:t>
      </w:r>
    </w:p>
    <w:p>
      <w:pPr>
        <w:spacing w:after="0" w:before="0"/>
      </w:pPr>
      <w:r>
        <w:rPr>
          <w:b w:val="0"/>
          <w:sz w:val="22"/>
        </w:rPr>
        <w:t>(d) Visual hallucination</w:t>
      </w:r>
    </w:p>
    <w:p>
      <w:pPr>
        <w:spacing w:after="0" w:before="40"/>
      </w:pPr>
      <w:r>
        <w:rPr>
          <w:b/>
          <w:sz w:val="22"/>
        </w:rPr>
        <w:t>Answer: a</w:t>
      </w:r>
    </w:p>
    <w:p>
      <w:pPr>
        <w:spacing w:after="0" w:before="0"/>
      </w:pPr>
      <w:r>
        <w:rPr>
          <w:b w:val="0"/>
          <w:sz w:val="21"/>
        </w:rPr>
        <w:t>Solution: Sundown syndrome is typically not seen in delirium, its characteristic of dementia. Delirium is a common neuropsychiatric syndrome characterized by a disturbance in attention and awareness, which develops over a short period of time and fluctuates in severity. The key clinical features of delirium include disturbance in attention, disorganized thinking, and altered level of consciousness. In addition to these features, patients with delirium may exhibit symptoms like visual hallucinations, fluctuating levels of consciousness, sleep-wake cycle disturbance, and agitation.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WHO, severe protein-energy malnutrition (PEM) is described if MUAC (Mid-Upper Arm Circumference) is:</w:t>
      </w:r>
    </w:p>
    <w:p>
      <w:pPr>
        <w:spacing w:after="0" w:before="0"/>
      </w:pPr>
      <w:r>
        <w:rPr>
          <w:b w:val="0"/>
          <w:sz w:val="22"/>
        </w:rPr>
        <w:t>(a) 12.5-13.5</w:t>
      </w:r>
    </w:p>
    <w:p>
      <w:pPr>
        <w:spacing w:after="0" w:before="0"/>
      </w:pPr>
      <w:r>
        <w:rPr>
          <w:b w:val="0"/>
          <w:sz w:val="22"/>
        </w:rPr>
        <w:t>(b) 12.5</w:t>
      </w:r>
    </w:p>
    <w:p>
      <w:pPr>
        <w:spacing w:after="0" w:before="0"/>
      </w:pPr>
      <w:r>
        <w:rPr>
          <w:b w:val="0"/>
          <w:sz w:val="22"/>
        </w:rPr>
        <w:t>(c) &gt;13.5</w:t>
      </w:r>
    </w:p>
    <w:p>
      <w:pPr>
        <w:spacing w:after="0" w:before="0"/>
      </w:pPr>
      <w:r>
        <w:rPr>
          <w:b w:val="0"/>
          <w:sz w:val="22"/>
        </w:rPr>
        <w:t>(d) &lt;11.5 cm</w:t>
      </w:r>
    </w:p>
    <w:p>
      <w:pPr>
        <w:spacing w:after="0" w:before="40"/>
      </w:pPr>
      <w:r>
        <w:rPr>
          <w:b/>
          <w:sz w:val="22"/>
        </w:rPr>
        <w:t>Answer: d</w:t>
      </w:r>
    </w:p>
    <w:p>
      <w:pPr>
        <w:spacing w:after="0" w:before="0"/>
      </w:pPr>
      <w:r>
        <w:rPr>
          <w:b w:val="0"/>
          <w:sz w:val="21"/>
        </w:rPr>
        <w:t>Solution: According to the World Health Organization (WHO), severe protein-energy malnutrition (PEM) is described if the Mid-Upper Arm Circumference (MUAC) is less than 11.5 cm (option D). MUAC is a simple and practical measurement used to assess nutritional status, particularly in children. It is measured by wrapping a tape around the midpoint of the upper arm. MUAC is an indicator of muscle and fat stores, and a measurement below a certain threshold suggests severe malnutrition. MUAC values vary based on age, sex, and population, and WHO provides specific cutoffs for different age groups. Identifying severe PEM through MUAC measurement is crucial for timely intervention and appropriate management.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used before ECT Procedure?</w:t>
      </w:r>
    </w:p>
    <w:p>
      <w:pPr>
        <w:spacing w:after="0" w:before="0"/>
      </w:pPr>
      <w:r>
        <w:rPr>
          <w:b w:val="0"/>
          <w:sz w:val="22"/>
        </w:rPr>
        <w:t>(a) Wash the oils from hair</w:t>
      </w:r>
    </w:p>
    <w:p>
      <w:pPr>
        <w:spacing w:after="0" w:before="0"/>
      </w:pPr>
      <w:r>
        <w:rPr>
          <w:b w:val="0"/>
          <w:sz w:val="22"/>
        </w:rPr>
        <w:t>(b) Premedication with anticholinergic</w:t>
      </w:r>
    </w:p>
    <w:p>
      <w:pPr>
        <w:spacing w:after="0" w:before="0"/>
      </w:pPr>
      <w:r>
        <w:rPr>
          <w:b w:val="0"/>
          <w:sz w:val="22"/>
        </w:rPr>
        <w:t>(c) NPO</w:t>
      </w:r>
    </w:p>
    <w:p>
      <w:pPr>
        <w:spacing w:after="0" w:before="0"/>
      </w:pPr>
      <w:r>
        <w:rPr>
          <w:b w:val="0"/>
          <w:sz w:val="22"/>
        </w:rPr>
        <w:t>(d) Have light meal before the procedure</w:t>
      </w:r>
    </w:p>
    <w:p>
      <w:pPr>
        <w:spacing w:after="0" w:before="40"/>
      </w:pPr>
      <w:r>
        <w:rPr>
          <w:b/>
          <w:sz w:val="22"/>
        </w:rPr>
        <w:t>Answer: d</w:t>
      </w:r>
    </w:p>
    <w:p>
      <w:pPr>
        <w:spacing w:after="0" w:before="0"/>
      </w:pPr>
      <w:r>
        <w:rPr>
          <w:b w:val="0"/>
          <w:sz w:val="21"/>
        </w:rPr>
        <w:t>Solution: Before the administration of electroconvulsive therapy (ECT), it is not recommended to have a light meal. The reason is that ECT requires the patient to be under general anesthesia, and having a meal prior to the procedure increases the risk of aspiration, where stomach contents can enter the lungs during anesthesia induction. Therefore, it is advised for patients to follow NPO (nothing by mouth) guidelines for a specific duration before ECT to minimize the risk of complications. "The Maudsley Prescribing Guidelines in Psychiatry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