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develops anaphylaxis after a bee sting. What is the nurse's priority intervention?</w:t>
      </w:r>
    </w:p>
    <w:p>
      <w:pPr>
        <w:spacing w:after="0" w:before="0"/>
      </w:pPr>
      <w:r>
        <w:rPr>
          <w:b w:val="0"/>
          <w:sz w:val="22"/>
        </w:rPr>
        <w:t>(a) Establish IV access first</w:t>
      </w:r>
    </w:p>
    <w:p>
      <w:pPr>
        <w:spacing w:after="0" w:before="0"/>
      </w:pPr>
      <w:r>
        <w:rPr>
          <w:b w:val="0"/>
          <w:sz w:val="22"/>
        </w:rPr>
        <w:t>(b) Apply oxygen by face mask</w:t>
      </w:r>
    </w:p>
    <w:p>
      <w:pPr>
        <w:spacing w:after="0" w:before="0"/>
      </w:pPr>
      <w:r>
        <w:rPr>
          <w:b w:val="0"/>
          <w:sz w:val="22"/>
        </w:rPr>
        <w:t>(c) Administer epinephrine IM immediately</w:t>
      </w:r>
    </w:p>
    <w:p>
      <w:pPr>
        <w:spacing w:after="0" w:before="0"/>
      </w:pPr>
      <w:r>
        <w:rPr>
          <w:b w:val="0"/>
          <w:sz w:val="22"/>
        </w:rPr>
        <w:t>(d) Give an oral antihistamine</w:t>
      </w:r>
    </w:p>
    <w:p>
      <w:pPr>
        <w:spacing w:after="0" w:before="40"/>
      </w:pPr>
      <w:r>
        <w:rPr>
          <w:b/>
          <w:sz w:val="22"/>
        </w:rPr>
        <w:t>Answer: c</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Anganwadi worker assess the malnutrition status by:</w:t>
      </w:r>
    </w:p>
    <w:p>
      <w:pPr>
        <w:spacing w:after="0" w:before="0"/>
      </w:pPr>
      <w:r>
        <w:rPr>
          <w:b w:val="0"/>
          <w:sz w:val="22"/>
        </w:rPr>
        <w:t>(a) Mid arm circumference</w:t>
      </w:r>
    </w:p>
    <w:p>
      <w:pPr>
        <w:spacing w:after="0" w:before="0"/>
      </w:pPr>
      <w:r>
        <w:rPr>
          <w:b w:val="0"/>
          <w:sz w:val="22"/>
        </w:rPr>
        <w:t>(b) Weight for age</w:t>
      </w:r>
    </w:p>
    <w:p>
      <w:pPr>
        <w:spacing w:after="0" w:before="0"/>
      </w:pPr>
      <w:r>
        <w:rPr>
          <w:b w:val="0"/>
          <w:sz w:val="22"/>
        </w:rPr>
        <w:t>(c) Weight for height</w:t>
      </w:r>
    </w:p>
    <w:p>
      <w:pPr>
        <w:spacing w:after="0" w:before="0"/>
      </w:pPr>
      <w:r>
        <w:rPr>
          <w:b w:val="0"/>
          <w:sz w:val="22"/>
        </w:rPr>
        <w:t>(d) Height for age</w:t>
      </w:r>
    </w:p>
    <w:p>
      <w:pPr>
        <w:spacing w:after="0" w:before="40"/>
      </w:pPr>
      <w:r>
        <w:rPr>
          <w:b/>
          <w:sz w:val="22"/>
        </w:rPr>
        <w:t>Answer: b</w:t>
      </w:r>
    </w:p>
    <w:p>
      <w:pPr>
        <w:spacing w:after="0" w:before="0"/>
      </w:pPr>
      <w:r>
        <w:rPr>
          <w:b w:val="0"/>
          <w:sz w:val="21"/>
        </w:rPr>
        <w:t>Solution: Anganwadi workers assess malnutrition in children by weight for age (growth monitoring under ICDS).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psychiatric client getting the antipsychotic drugs, and the client getting the symptoms of agitation, as? feeling of restlessness, dysphoria, and difficulty in sleeping, the group of this adverse effect is called</w:t>
      </w:r>
    </w:p>
    <w:p>
      <w:pPr>
        <w:spacing w:after="0" w:before="0"/>
      </w:pPr>
      <w:r>
        <w:rPr>
          <w:b w:val="0"/>
          <w:sz w:val="22"/>
        </w:rPr>
        <w:t>(a) Dyskinesia</w:t>
      </w:r>
    </w:p>
    <w:p>
      <w:pPr>
        <w:spacing w:after="0" w:before="0"/>
      </w:pPr>
      <w:r>
        <w:rPr>
          <w:b w:val="0"/>
          <w:sz w:val="22"/>
        </w:rPr>
        <w:t>(b) Tardive dyskinesia</w:t>
      </w:r>
    </w:p>
    <w:p>
      <w:pPr>
        <w:spacing w:after="0" w:before="0"/>
      </w:pPr>
      <w:r>
        <w:rPr>
          <w:b w:val="0"/>
          <w:sz w:val="22"/>
        </w:rPr>
        <w:t>(c) Akathesia</w:t>
      </w:r>
    </w:p>
    <w:p>
      <w:pPr>
        <w:spacing w:after="0" w:before="0"/>
      </w:pPr>
      <w:r>
        <w:rPr>
          <w:b w:val="0"/>
          <w:sz w:val="22"/>
        </w:rPr>
        <w:t>(d) Shakiness</w:t>
      </w:r>
    </w:p>
    <w:p>
      <w:pPr>
        <w:spacing w:after="0" w:before="40"/>
      </w:pPr>
      <w:r>
        <w:rPr>
          <w:b/>
          <w:sz w:val="22"/>
        </w:rPr>
        <w:t>Answer: c</w:t>
      </w:r>
    </w:p>
    <w:p>
      <w:pPr>
        <w:spacing w:after="0" w:before="0"/>
      </w:pPr>
      <w:r>
        <w:rPr>
          <w:b w:val="0"/>
          <w:sz w:val="21"/>
        </w:rPr>
        <w:t>Solution: Akathisia - intense subjective restlessness and pacing - is a common extrapyramidal side effect of antipsychotic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should position a patient after lumbar puncture in:</w:t>
      </w:r>
    </w:p>
    <w:p>
      <w:pPr>
        <w:spacing w:after="0" w:before="0"/>
      </w:pPr>
      <w:r>
        <w:rPr>
          <w:b w:val="0"/>
          <w:sz w:val="22"/>
        </w:rPr>
        <w:t>(a) Sitting upright</w:t>
      </w:r>
    </w:p>
    <w:p>
      <w:pPr>
        <w:spacing w:after="0" w:before="0"/>
      </w:pPr>
      <w:r>
        <w:rPr>
          <w:b w:val="0"/>
          <w:sz w:val="22"/>
        </w:rPr>
        <w:t>(b) Prone</w:t>
      </w:r>
    </w:p>
    <w:p>
      <w:pPr>
        <w:spacing w:after="0" w:before="0"/>
      </w:pPr>
      <w:r>
        <w:rPr>
          <w:b w:val="0"/>
          <w:sz w:val="22"/>
        </w:rPr>
        <w:t>(c) Flat (supine) for a few hours</w:t>
      </w:r>
    </w:p>
    <w:p>
      <w:pPr>
        <w:spacing w:after="0" w:before="0"/>
      </w:pPr>
      <w:r>
        <w:rPr>
          <w:b w:val="0"/>
          <w:sz w:val="22"/>
        </w:rPr>
        <w:t>(d) Trendelenburg</w:t>
      </w:r>
    </w:p>
    <w:p>
      <w:pPr>
        <w:spacing w:after="0" w:before="40"/>
      </w:pPr>
      <w:r>
        <w:rPr>
          <w:b/>
          <w:sz w:val="22"/>
        </w:rPr>
        <w:t>Answer: c</w:t>
      </w:r>
    </w:p>
    <w:p>
      <w:pPr>
        <w:spacing w:after="0" w:before="0"/>
      </w:pPr>
      <w:r>
        <w:rPr>
          <w:b w:val="0"/>
          <w:sz w:val="21"/>
        </w:rPr>
        <w:t>Solution: The patient lies flat for a few hours after lumbar puncture to prevent post-dural puncture headache.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 which date was the milestone of 100 crore vaccinations (Covaxin + Covishield) completed in India?</w:t>
      </w:r>
    </w:p>
    <w:p>
      <w:pPr>
        <w:spacing w:after="0" w:before="0"/>
      </w:pPr>
      <w:r>
        <w:rPr>
          <w:b w:val="0"/>
          <w:sz w:val="22"/>
        </w:rPr>
        <w:t>(a) 21.10.2021,</w:t>
      </w:r>
    </w:p>
    <w:p>
      <w:pPr>
        <w:spacing w:after="0" w:before="0"/>
      </w:pPr>
      <w:r>
        <w:rPr>
          <w:b w:val="0"/>
          <w:sz w:val="22"/>
        </w:rPr>
        <w:t>(b) 19.10.2021,</w:t>
      </w:r>
    </w:p>
    <w:p>
      <w:pPr>
        <w:spacing w:after="0" w:before="0"/>
      </w:pPr>
      <w:r>
        <w:rPr>
          <w:b w:val="0"/>
          <w:sz w:val="22"/>
        </w:rPr>
        <w:t>(c) 20.10.2021,</w:t>
      </w:r>
    </w:p>
    <w:p>
      <w:pPr>
        <w:spacing w:after="0" w:before="0"/>
      </w:pPr>
      <w:r>
        <w:rPr>
          <w:b w:val="0"/>
          <w:sz w:val="22"/>
        </w:rPr>
        <w:t>(d) 22.10.2021,</w:t>
      </w:r>
    </w:p>
    <w:p>
      <w:pPr>
        <w:spacing w:after="0" w:before="40"/>
      </w:pPr>
      <w:r>
        <w:rPr>
          <w:b/>
          <w:sz w:val="22"/>
        </w:rPr>
        <w:t>Answer: a</w:t>
      </w:r>
    </w:p>
    <w:p>
      <w:pPr>
        <w:spacing w:after="0" w:before="0"/>
      </w:pPr>
      <w:r>
        <w:rPr>
          <w:b w:val="0"/>
          <w:sz w:val="21"/>
        </w:rPr>
        <w:t>Solution: The milestone of 100 crore vaccinations (Covaxin + Covishield) in India was completed on 21.10.2021 (option a). This significant achievement marked the administration of 100 crore doses of COVID-19 vaccines in India's nationwide vaccination campaign. The combined use of Covaxin and Covishield, which are the two primary vaccines being administered in India, contributed to reaching this milestone in the ongoing efforts to protect the population against COVID-19.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having diarrhea shows sunken eyes and is eagerly thirsty. When milk is provided to the baby, it drinks it eagerly. Which type of dehydration is in this patient?</w:t>
      </w:r>
    </w:p>
    <w:p>
      <w:pPr>
        <w:spacing w:after="0" w:before="0"/>
      </w:pPr>
      <w:r>
        <w:rPr>
          <w:b w:val="0"/>
          <w:sz w:val="22"/>
        </w:rPr>
        <w:t>(a) Norma</w:t>
      </w:r>
    </w:p>
    <w:p>
      <w:pPr>
        <w:spacing w:after="0" w:before="0"/>
      </w:pPr>
      <w:r>
        <w:rPr>
          <w:b w:val="0"/>
          <w:sz w:val="22"/>
        </w:rPr>
        <w:t>(b) Mild dehydration</w:t>
      </w:r>
    </w:p>
    <w:p>
      <w:pPr>
        <w:spacing w:after="0" w:before="0"/>
      </w:pPr>
      <w:r>
        <w:rPr>
          <w:b w:val="0"/>
          <w:sz w:val="22"/>
        </w:rPr>
        <w:t>(c) Severe dehydration</w:t>
      </w:r>
    </w:p>
    <w:p>
      <w:pPr>
        <w:spacing w:after="0" w:before="0"/>
      </w:pPr>
      <w:r>
        <w:rPr>
          <w:b w:val="0"/>
          <w:sz w:val="22"/>
        </w:rPr>
        <w:t>(d) Moderate dehydration</w:t>
      </w:r>
    </w:p>
    <w:p>
      <w:pPr>
        <w:spacing w:after="0" w:before="40"/>
      </w:pPr>
      <w:r>
        <w:rPr>
          <w:b/>
          <w:sz w:val="22"/>
        </w:rPr>
        <w:t>Answer: d</w:t>
      </w:r>
    </w:p>
    <w:p>
      <w:pPr>
        <w:spacing w:after="0" w:before="0"/>
      </w:pPr>
      <w:r>
        <w:rPr>
          <w:b w:val="0"/>
          <w:sz w:val="21"/>
        </w:rPr>
        <w:t>Solution: Sunken eyes with eager drinking after offering fluids indicate moderate dehydration (Plan B: 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High-calorie nutritional support</w:t>
      </w:r>
    </w:p>
    <w:p>
      <w:pPr>
        <w:spacing w:after="0" w:before="0"/>
      </w:pPr>
      <w:r>
        <w:rPr>
          <w:b w:val="0"/>
          <w:sz w:val="22"/>
        </w:rPr>
        <w:t>(b) Frequent dressing changes</w:t>
      </w:r>
    </w:p>
    <w:p>
      <w:pPr>
        <w:spacing w:after="0" w:before="0"/>
      </w:pPr>
      <w:r>
        <w:rPr>
          <w:b w:val="0"/>
          <w:sz w:val="22"/>
        </w:rPr>
        <w:t>(c) Initial burn wound debridement</w:t>
      </w:r>
    </w:p>
    <w:p>
      <w:pPr>
        <w:spacing w:after="0" w:before="0"/>
      </w:pPr>
      <w:r>
        <w:rPr>
          <w:b w:val="0"/>
          <w:sz w:val="22"/>
        </w:rPr>
        <w:t>(d) Airway assessment and fluid resuscitation</w:t>
      </w:r>
    </w:p>
    <w:p>
      <w:pPr>
        <w:spacing w:after="0" w:before="40"/>
      </w:pPr>
      <w:r>
        <w:rPr>
          <w:b/>
          <w:sz w:val="22"/>
        </w:rPr>
        <w:t>Answer: d</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should not be provided to the newborn in galactosemia?</w:t>
      </w:r>
    </w:p>
    <w:p>
      <w:pPr>
        <w:spacing w:after="0" w:before="0"/>
      </w:pPr>
      <w:r>
        <w:rPr>
          <w:b w:val="0"/>
          <w:sz w:val="22"/>
        </w:rPr>
        <w:t>(a) Milk</w:t>
      </w:r>
    </w:p>
    <w:p>
      <w:pPr>
        <w:spacing w:after="0" w:before="0"/>
      </w:pPr>
      <w:r>
        <w:rPr>
          <w:b w:val="0"/>
          <w:sz w:val="22"/>
        </w:rPr>
        <w:t>(b) Starch</w:t>
      </w:r>
    </w:p>
    <w:p>
      <w:pPr>
        <w:spacing w:after="0" w:before="0"/>
      </w:pPr>
      <w:r>
        <w:rPr>
          <w:b w:val="0"/>
          <w:sz w:val="22"/>
        </w:rPr>
        <w:t>(c) Gluten</w:t>
      </w:r>
    </w:p>
    <w:p>
      <w:pPr>
        <w:spacing w:after="0" w:before="0"/>
      </w:pPr>
      <w:r>
        <w:rPr>
          <w:b w:val="0"/>
          <w:sz w:val="22"/>
        </w:rPr>
        <w:t>(d) Glycogen</w:t>
      </w:r>
    </w:p>
    <w:p>
      <w:pPr>
        <w:spacing w:after="0" w:before="40"/>
      </w:pPr>
      <w:r>
        <w:rPr>
          <w:b/>
          <w:sz w:val="22"/>
        </w:rPr>
        <w:t>Answer: a</w:t>
      </w:r>
    </w:p>
    <w:p>
      <w:pPr>
        <w:spacing w:after="0" w:before="0"/>
      </w:pPr>
      <w:r>
        <w:rPr>
          <w:b w:val="0"/>
          <w:sz w:val="21"/>
        </w:rPr>
        <w:t>Solution: In galactosemia, milk (lactose) must be avoided as the infant cannot metabolise galactose.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Take BP from right side</w:t>
      </w:r>
    </w:p>
    <w:p>
      <w:pPr>
        <w:spacing w:after="0" w:before="0"/>
      </w:pPr>
      <w:r>
        <w:rPr>
          <w:b w:val="0"/>
          <w:sz w:val="22"/>
        </w:rPr>
        <w:t>(b) Take BP from left side</w:t>
      </w:r>
    </w:p>
    <w:p>
      <w:pPr>
        <w:spacing w:after="0" w:before="0"/>
      </w:pPr>
      <w:r>
        <w:rPr>
          <w:b w:val="0"/>
          <w:sz w:val="22"/>
        </w:rPr>
        <w:t>(c) Attach pulse oximetry on right side</w:t>
      </w:r>
    </w:p>
    <w:p>
      <w:pPr>
        <w:spacing w:after="0" w:before="0"/>
      </w:pPr>
      <w:r>
        <w:rPr>
          <w:b w:val="0"/>
          <w:sz w:val="22"/>
        </w:rPr>
        <w:t>(d) Attach pulse oximetry on left side</w:t>
      </w:r>
    </w:p>
    <w:p>
      <w:pPr>
        <w:spacing w:after="0" w:before="40"/>
      </w:pPr>
      <w:r>
        <w:rPr>
          <w:b/>
          <w:sz w:val="22"/>
        </w:rPr>
        <w:t>Answer: b</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20 mg 150 mg</w:t>
      </w:r>
    </w:p>
    <w:p>
      <w:pPr>
        <w:spacing w:after="0" w:before="0"/>
      </w:pPr>
      <w:r>
        <w:rPr>
          <w:b w:val="0"/>
          <w:sz w:val="22"/>
        </w:rPr>
        <w:t>(b) 100 mg 250 mg</w:t>
      </w:r>
    </w:p>
    <w:p>
      <w:pPr>
        <w:spacing w:after="0" w:before="0"/>
      </w:pPr>
      <w:r>
        <w:rPr>
          <w:b w:val="0"/>
          <w:sz w:val="22"/>
        </w:rPr>
        <w:t>(c) 60 mg 500 mcg</w:t>
      </w:r>
    </w:p>
    <w:p>
      <w:pPr>
        <w:spacing w:after="0" w:before="0"/>
      </w:pPr>
      <w:r>
        <w:rPr>
          <w:b w:val="0"/>
          <w:sz w:val="22"/>
        </w:rPr>
        <w:t>(d) 30 mg 200 mg</w:t>
      </w:r>
    </w:p>
    <w:p>
      <w:pPr>
        <w:spacing w:after="0" w:before="40"/>
      </w:pPr>
      <w:r>
        <w:rPr>
          <w:b/>
          <w:sz w:val="22"/>
        </w:rPr>
        <w:t>Answer: c</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Paris, France</w:t>
      </w:r>
    </w:p>
    <w:p>
      <w:pPr>
        <w:spacing w:after="0" w:before="0"/>
      </w:pPr>
      <w:r>
        <w:rPr>
          <w:b w:val="0"/>
          <w:sz w:val="22"/>
        </w:rPr>
        <w:t>(b) Geneva, Switzerland</w:t>
      </w:r>
    </w:p>
    <w:p>
      <w:pPr>
        <w:spacing w:after="0" w:before="0"/>
      </w:pPr>
      <w:r>
        <w:rPr>
          <w:b w:val="0"/>
          <w:sz w:val="22"/>
        </w:rPr>
        <w:t>(c) Washington D.C., USA</w:t>
      </w:r>
    </w:p>
    <w:p>
      <w:pPr>
        <w:spacing w:after="0" w:before="0"/>
      </w:pPr>
      <w:r>
        <w:rPr>
          <w:b w:val="0"/>
          <w:sz w:val="22"/>
        </w:rPr>
        <w:t>(d) Rome, Italy</w:t>
      </w:r>
    </w:p>
    <w:p>
      <w:pPr>
        <w:spacing w:after="0" w:before="40"/>
      </w:pPr>
      <w:r>
        <w:rPr>
          <w:b/>
          <w:sz w:val="22"/>
        </w:rPr>
        <w:t>Answer: b</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criteria for low birth weight baby</w:t>
      </w:r>
    </w:p>
    <w:p>
      <w:pPr>
        <w:spacing w:after="0" w:before="0"/>
      </w:pPr>
      <w:r>
        <w:rPr>
          <w:b w:val="0"/>
          <w:sz w:val="22"/>
        </w:rPr>
        <w:t>(a) 1 kg</w:t>
      </w:r>
    </w:p>
    <w:p>
      <w:pPr>
        <w:spacing w:after="0" w:before="0"/>
      </w:pPr>
      <w:r>
        <w:rPr>
          <w:b w:val="0"/>
          <w:sz w:val="22"/>
        </w:rPr>
        <w:t>(b) 2.5 kg</w:t>
      </w:r>
    </w:p>
    <w:p>
      <w:pPr>
        <w:spacing w:after="0" w:before="0"/>
      </w:pPr>
      <w:r>
        <w:rPr>
          <w:b w:val="0"/>
          <w:sz w:val="22"/>
        </w:rPr>
        <w:t>(c) 3 kg</w:t>
      </w:r>
    </w:p>
    <w:p>
      <w:pPr>
        <w:spacing w:after="0" w:before="0"/>
      </w:pPr>
      <w:r>
        <w:rPr>
          <w:b w:val="0"/>
          <w:sz w:val="22"/>
        </w:rPr>
        <w:t>(d) 1.5 kg</w:t>
      </w:r>
    </w:p>
    <w:p>
      <w:pPr>
        <w:spacing w:after="0" w:before="40"/>
      </w:pPr>
      <w:r>
        <w:rPr>
          <w:b/>
          <w:sz w:val="22"/>
        </w:rPr>
        <w:t>Answer: b</w:t>
      </w:r>
    </w:p>
    <w:p>
      <w:pPr>
        <w:spacing w:after="0" w:before="0"/>
      </w:pPr>
      <w:r>
        <w:rPr>
          <w:b w:val="0"/>
          <w:sz w:val="21"/>
        </w:rPr>
        <w:t>Solution: Low birth weight is defined as birth weight below 2.5 kg (2500 g) regardless of gestational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SSPE complication occurs from which disease?</w:t>
      </w:r>
    </w:p>
    <w:p>
      <w:pPr>
        <w:spacing w:after="0" w:before="0"/>
      </w:pPr>
      <w:r>
        <w:rPr>
          <w:b w:val="0"/>
          <w:sz w:val="22"/>
        </w:rPr>
        <w:t>(a) Chickenpox</w:t>
      </w:r>
    </w:p>
    <w:p>
      <w:pPr>
        <w:spacing w:after="0" w:before="0"/>
      </w:pPr>
      <w:r>
        <w:rPr>
          <w:b w:val="0"/>
          <w:sz w:val="22"/>
        </w:rPr>
        <w:t>(b) Rubella</w:t>
      </w:r>
    </w:p>
    <w:p>
      <w:pPr>
        <w:spacing w:after="0" w:before="0"/>
      </w:pPr>
      <w:r>
        <w:rPr>
          <w:b w:val="0"/>
          <w:sz w:val="22"/>
        </w:rPr>
        <w:t>(c) Measles</w:t>
      </w:r>
    </w:p>
    <w:p>
      <w:pPr>
        <w:spacing w:after="0" w:before="0"/>
      </w:pPr>
      <w:r>
        <w:rPr>
          <w:b w:val="0"/>
          <w:sz w:val="22"/>
        </w:rPr>
        <w:t>(d) Dengue</w:t>
      </w:r>
    </w:p>
    <w:p>
      <w:pPr>
        <w:spacing w:after="0" w:before="40"/>
      </w:pPr>
      <w:r>
        <w:rPr>
          <w:b/>
          <w:sz w:val="22"/>
        </w:rPr>
        <w:t>Answer: c</w:t>
      </w:r>
    </w:p>
    <w:p>
      <w:pPr>
        <w:spacing w:after="0" w:before="0"/>
      </w:pPr>
      <w:r>
        <w:rPr>
          <w:b w:val="0"/>
          <w:sz w:val="21"/>
        </w:rPr>
        <w:t>Solution: SSPE (Subacute Sclerosing Panencephalitis) is a complication that occurs from the measles virus (option A). SSPE is a rare but serious progressive neurological disorder that affects individuals who have had measles infection, usually occurring several years after the initial infection. It is characterized by inflammation and degeneration of the brain. The exact cause of SSPE is not fully understood, but it is believed to result from persistent measles virus infection in the brain. Vaccination against measles is crucial for preventing SSPE and other complications associated with measles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an artery</w:t>
      </w:r>
    </w:p>
    <w:p>
      <w:pPr>
        <w:spacing w:after="0" w:before="0"/>
      </w:pPr>
      <w:r>
        <w:rPr>
          <w:b w:val="0"/>
          <w:sz w:val="22"/>
        </w:rPr>
        <w:t>(b) Direct injection into the intraosseous space of the tibia</w:t>
      </w:r>
    </w:p>
    <w:p>
      <w:pPr>
        <w:spacing w:after="0" w:before="0"/>
      </w:pPr>
      <w:r>
        <w:rPr>
          <w:b w:val="0"/>
          <w:sz w:val="22"/>
        </w:rPr>
        <w:t>(c) Plan for a central line</w:t>
      </w:r>
    </w:p>
    <w:p>
      <w:pPr>
        <w:spacing w:after="0" w:before="0"/>
      </w:pPr>
      <w:r>
        <w:rPr>
          <w:b w:val="0"/>
          <w:sz w:val="22"/>
        </w:rPr>
        <w:t>(d) Cut down and inject directly</w:t>
      </w:r>
    </w:p>
    <w:p>
      <w:pPr>
        <w:spacing w:after="0" w:before="40"/>
      </w:pPr>
      <w:r>
        <w:rPr>
          <w:b/>
          <w:sz w:val="22"/>
        </w:rPr>
        <w:t>Answer: b</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neonatal mortality in India?</w:t>
      </w:r>
    </w:p>
    <w:p>
      <w:pPr>
        <w:spacing w:after="0" w:before="0"/>
      </w:pPr>
      <w:r>
        <w:rPr>
          <w:b w:val="0"/>
          <w:sz w:val="22"/>
        </w:rPr>
        <w:t>(a) Anaemia</w:t>
      </w:r>
    </w:p>
    <w:p>
      <w:pPr>
        <w:spacing w:after="0" w:before="0"/>
      </w:pPr>
      <w:r>
        <w:rPr>
          <w:b w:val="0"/>
          <w:sz w:val="22"/>
        </w:rPr>
        <w:t>(b) Birth trauma</w:t>
      </w:r>
    </w:p>
    <w:p>
      <w:pPr>
        <w:spacing w:after="0" w:before="0"/>
      </w:pPr>
      <w:r>
        <w:rPr>
          <w:b w:val="0"/>
          <w:sz w:val="22"/>
        </w:rPr>
        <w:t>(c) Diarrhoea</w:t>
      </w:r>
    </w:p>
    <w:p>
      <w:pPr>
        <w:spacing w:after="0" w:before="0"/>
      </w:pPr>
      <w:r>
        <w:rPr>
          <w:b w:val="0"/>
          <w:sz w:val="22"/>
        </w:rPr>
        <w:t>(d) Prematurity</w:t>
      </w:r>
    </w:p>
    <w:p>
      <w:pPr>
        <w:spacing w:after="0" w:before="40"/>
      </w:pPr>
      <w:r>
        <w:rPr>
          <w:b/>
          <w:sz w:val="22"/>
        </w:rPr>
        <w:t>Answer: d</w:t>
      </w:r>
    </w:p>
    <w:p>
      <w:pPr>
        <w:spacing w:after="0" w:before="0"/>
      </w:pPr>
      <w:r>
        <w:rPr>
          <w:b w:val="0"/>
          <w:sz w:val="21"/>
        </w:rPr>
        <w:t>Solution: The most common cause of neonatal mortality in India is prematurity. Prematurity refers to babies born before completing 37 weeks of gestation. It is a significant public health issue in India, contributing to a substantial number of neonatal deaths. Premature babies often face numerous health challenges due to their underdeveloped organ systems, including respiratory distress syndrome, infections, and complications related to temperature regulation and feeding. Improving prenatal care, promoting maternal health, and ensuring access to appropriate neonatal care are crucial in reducing neonatal mortality rates associated with prematurity.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similar to Command?</w:t>
      </w:r>
    </w:p>
    <w:p>
      <w:pPr>
        <w:spacing w:after="0" w:before="0"/>
      </w:pPr>
      <w:r>
        <w:rPr>
          <w:b w:val="0"/>
          <w:sz w:val="22"/>
        </w:rPr>
        <w:t>(a) Lead</w:t>
      </w:r>
    </w:p>
    <w:p>
      <w:pPr>
        <w:spacing w:after="0" w:before="0"/>
      </w:pPr>
      <w:r>
        <w:rPr>
          <w:b w:val="0"/>
          <w:sz w:val="22"/>
        </w:rPr>
        <w:t>(b) Supervise</w:t>
      </w:r>
    </w:p>
    <w:p>
      <w:pPr>
        <w:spacing w:after="0" w:before="0"/>
      </w:pPr>
      <w:r>
        <w:rPr>
          <w:b w:val="0"/>
          <w:sz w:val="22"/>
        </w:rPr>
        <w:t>(c) Direction</w:t>
      </w:r>
    </w:p>
    <w:p>
      <w:pPr>
        <w:spacing w:after="0" w:before="0"/>
      </w:pPr>
      <w:r>
        <w:rPr>
          <w:b w:val="0"/>
          <w:sz w:val="22"/>
        </w:rPr>
        <w:t>(d) Manage</w:t>
      </w:r>
    </w:p>
    <w:p>
      <w:pPr>
        <w:spacing w:after="0" w:before="40"/>
      </w:pPr>
      <w:r>
        <w:rPr>
          <w:b/>
          <w:sz w:val="22"/>
        </w:rPr>
        <w:t>Answer: c</w:t>
      </w:r>
    </w:p>
    <w:p>
      <w:pPr>
        <w:spacing w:after="0" w:before="0"/>
      </w:pPr>
      <w:r>
        <w:rPr>
          <w:b w:val="0"/>
          <w:sz w:val="21"/>
        </w:rPr>
        <w:t>Solution: The term similar to "command" among the given options is "direction." Command and direction are closely related terms that involve instructing or guiding others in a particular course of action. In the context of management or leadership, providing direction implies giving clear instructions, guidance, or orders to ensure that tasks are carried out effectively and goals are achieved.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Bone marrow aspiration in children</w:t>
      </w:r>
    </w:p>
    <w:p>
      <w:pPr>
        <w:spacing w:after="0" w:before="0"/>
      </w:pPr>
      <w:r>
        <w:rPr>
          <w:b w:val="0"/>
          <w:sz w:val="22"/>
        </w:rPr>
        <w:t>(a) Posterior Superior iliac crest</w:t>
      </w:r>
    </w:p>
    <w:p>
      <w:pPr>
        <w:spacing w:after="0" w:before="0"/>
      </w:pPr>
      <w:r>
        <w:rPr>
          <w:b w:val="0"/>
          <w:sz w:val="22"/>
        </w:rPr>
        <w:t>(b) Proximal tibia</w:t>
      </w:r>
    </w:p>
    <w:p>
      <w:pPr>
        <w:spacing w:after="0" w:before="0"/>
      </w:pPr>
      <w:r>
        <w:rPr>
          <w:b w:val="0"/>
          <w:sz w:val="22"/>
        </w:rPr>
        <w:t>(c) Sternum</w:t>
      </w:r>
    </w:p>
    <w:p>
      <w:pPr>
        <w:spacing w:after="0" w:before="0"/>
      </w:pPr>
      <w:r>
        <w:rPr>
          <w:b w:val="0"/>
          <w:sz w:val="22"/>
        </w:rPr>
        <w:t>(d) Ribs</w:t>
      </w:r>
    </w:p>
    <w:p>
      <w:pPr>
        <w:spacing w:after="0" w:before="40"/>
      </w:pPr>
      <w:r>
        <w:rPr>
          <w:b/>
          <w:sz w:val="22"/>
        </w:rPr>
        <w:t>Answer: a</w:t>
      </w:r>
    </w:p>
    <w:p>
      <w:pPr>
        <w:spacing w:after="0" w:before="0"/>
      </w:pPr>
      <w:r>
        <w:rPr>
          <w:b w:val="0"/>
          <w:sz w:val="21"/>
        </w:rPr>
        <w:t>Solution: Bone marrow aspiration in children is preferably done from the posterior superior iliac crest (sternum is avoided in children).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DPT stand for?</w:t>
      </w:r>
    </w:p>
    <w:p>
      <w:pPr>
        <w:spacing w:after="0" w:before="0"/>
      </w:pPr>
      <w:r>
        <w:rPr>
          <w:b w:val="0"/>
          <w:sz w:val="22"/>
        </w:rPr>
        <w:t>(a) Diphtheria, pertussis, TB</w:t>
      </w:r>
    </w:p>
    <w:p>
      <w:pPr>
        <w:spacing w:after="0" w:before="0"/>
      </w:pPr>
      <w:r>
        <w:rPr>
          <w:b w:val="0"/>
          <w:sz w:val="22"/>
        </w:rPr>
        <w:t>(b) Diphtheria, pertussis, tetany</w:t>
      </w:r>
    </w:p>
    <w:p>
      <w:pPr>
        <w:spacing w:after="0" w:before="0"/>
      </w:pPr>
      <w:r>
        <w:rPr>
          <w:b w:val="0"/>
          <w:sz w:val="22"/>
        </w:rPr>
        <w:t>(c) Diphtheria, polio, tetanus</w:t>
      </w:r>
    </w:p>
    <w:p>
      <w:pPr>
        <w:spacing w:after="0" w:before="0"/>
      </w:pPr>
      <w:r>
        <w:rPr>
          <w:b w:val="0"/>
          <w:sz w:val="22"/>
        </w:rPr>
        <w:t>(d) Diphtheria, pertussis, tetanus</w:t>
      </w:r>
    </w:p>
    <w:p>
      <w:pPr>
        <w:spacing w:after="0" w:before="40"/>
      </w:pPr>
      <w:r>
        <w:rPr>
          <w:b/>
          <w:sz w:val="22"/>
        </w:rPr>
        <w:t>Answer: d</w:t>
      </w:r>
    </w:p>
    <w:p>
      <w:pPr>
        <w:spacing w:after="0" w:before="0"/>
      </w:pPr>
      <w:r>
        <w:rPr>
          <w:b w:val="0"/>
          <w:sz w:val="21"/>
        </w:rPr>
        <w:t>Solution: DPT stands for diphtheria, pertussis, tetanus (option a). DPT refers to a combination vaccine that protects against these three diseases. Diphtheria is a bacterial infection that can cause severe respiratory symptoms and complications. Pertussis, also known as whooping cough, is a highly contagious respiratory infection. Tetanus, commonly referred to as lockjaw, is a potentially fatal bacterial infection that affects the muscles and nerves. The DPT vaccine is administered in multiple doses to provide immunity against these diseases, particularly in childhood. It is an essential component of routine immunization programs worldwide.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Hand rubbing time for Alcohol based hand washing is:</w:t>
      </w:r>
    </w:p>
    <w:p>
      <w:pPr>
        <w:spacing w:after="0" w:before="0"/>
      </w:pPr>
      <w:r>
        <w:rPr>
          <w:b w:val="0"/>
          <w:sz w:val="22"/>
        </w:rPr>
        <w:t>(a) 15 to 30 sec</w:t>
      </w:r>
    </w:p>
    <w:p>
      <w:pPr>
        <w:spacing w:after="0" w:before="0"/>
      </w:pPr>
      <w:r>
        <w:rPr>
          <w:b w:val="0"/>
          <w:sz w:val="22"/>
        </w:rPr>
        <w:t>(b) 10 to 15 sec</w:t>
      </w:r>
    </w:p>
    <w:p>
      <w:pPr>
        <w:spacing w:after="0" w:before="0"/>
      </w:pPr>
      <w:r>
        <w:rPr>
          <w:b w:val="0"/>
          <w:sz w:val="22"/>
        </w:rPr>
        <w:t>(c) 60 sec</w:t>
      </w:r>
    </w:p>
    <w:p>
      <w:pPr>
        <w:spacing w:after="0" w:before="0"/>
      </w:pPr>
      <w:r>
        <w:rPr>
          <w:b w:val="0"/>
          <w:sz w:val="22"/>
        </w:rPr>
        <w:t>(d) 30 to 45 sec</w:t>
      </w:r>
    </w:p>
    <w:p>
      <w:pPr>
        <w:spacing w:after="0" w:before="40"/>
      </w:pPr>
      <w:r>
        <w:rPr>
          <w:b/>
          <w:sz w:val="22"/>
        </w:rPr>
        <w:t>Answer: a</w:t>
      </w:r>
    </w:p>
    <w:p>
      <w:pPr>
        <w:spacing w:after="0" w:before="0"/>
      </w:pPr>
      <w:r>
        <w:rPr>
          <w:b w:val="0"/>
          <w:sz w:val="21"/>
        </w:rPr>
        <w:t>Solution: Alcohol-based hand rub should be applied and rubbed for 15-30 seconds (until dry).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Side effect of chloramphenicol drug?</w:t>
      </w:r>
    </w:p>
    <w:p>
      <w:pPr>
        <w:spacing w:after="0" w:before="0"/>
      </w:pPr>
      <w:r>
        <w:rPr>
          <w:b w:val="0"/>
          <w:sz w:val="22"/>
        </w:rPr>
        <w:t>(a) Emotional liability</w:t>
      </w:r>
    </w:p>
    <w:p>
      <w:pPr>
        <w:spacing w:after="0" w:before="0"/>
      </w:pPr>
      <w:r>
        <w:rPr>
          <w:b w:val="0"/>
          <w:sz w:val="22"/>
        </w:rPr>
        <w:t>(b) Bone marrow depression</w:t>
      </w:r>
    </w:p>
    <w:p>
      <w:pPr>
        <w:spacing w:after="0" w:before="0"/>
      </w:pPr>
      <w:r>
        <w:rPr>
          <w:b w:val="0"/>
          <w:sz w:val="22"/>
        </w:rPr>
        <w:t>(c) Fever &amp; cough</w:t>
      </w:r>
    </w:p>
    <w:p>
      <w:pPr>
        <w:spacing w:after="0" w:before="0"/>
      </w:pPr>
      <w:r>
        <w:rPr>
          <w:b w:val="0"/>
          <w:sz w:val="22"/>
        </w:rPr>
        <w:t>(d) All of the above</w:t>
      </w:r>
    </w:p>
    <w:p>
      <w:pPr>
        <w:spacing w:after="0" w:before="40"/>
      </w:pPr>
      <w:r>
        <w:rPr>
          <w:b/>
          <w:sz w:val="22"/>
        </w:rPr>
        <w:t>Answer: b</w:t>
      </w:r>
    </w:p>
    <w:p>
      <w:pPr>
        <w:spacing w:after="0" w:before="0"/>
      </w:pPr>
      <w:r>
        <w:rPr>
          <w:b w:val="0"/>
          <w:sz w:val="21"/>
        </w:rPr>
        <w:t>Solution: The side effect of the chloramphenicol drug is bone marrow depression (option B). Chloramphenicol is an antibiotic commonly used for the treatment of various bacterial infections. However, it carries a risk of suppressing bone marrow function, leading to a decrease in the production of red blood cells, white blood cells, and platelets. This can result in anemia, increased susceptibility to infections, and an increased risk of bleeding. Regular monitoring of blood counts is important during chloramphenicol therapy to detect and manage bone marrow suppression promptly.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