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What is the initial nursing intervention for a patient who experiences breathing difficulties during a blood transfusion?</w:t>
      </w:r>
    </w:p>
    <w:p>
      <w:pPr>
        <w:spacing w:after="0" w:before="0"/>
      </w:pPr>
      <w:r>
        <w:rPr>
          <w:b w:val="0"/>
          <w:sz w:val="22"/>
        </w:rPr>
        <w:t>(a) Stop the infusion and Inform to the doctor</w:t>
      </w:r>
    </w:p>
    <w:p>
      <w:pPr>
        <w:spacing w:after="0" w:before="0"/>
      </w:pPr>
      <w:r>
        <w:rPr>
          <w:b w:val="0"/>
          <w:sz w:val="22"/>
        </w:rPr>
        <w:t>(b) Continue blood transfusion and give adrenaline</w:t>
      </w:r>
    </w:p>
    <w:p>
      <w:pPr>
        <w:spacing w:after="0" w:before="0"/>
      </w:pPr>
      <w:r>
        <w:rPr>
          <w:b w:val="0"/>
          <w:sz w:val="22"/>
        </w:rPr>
        <w:t>(c) Continue blood transfusion and give DOC calcium</w:t>
      </w:r>
    </w:p>
    <w:p>
      <w:pPr>
        <w:spacing w:after="0" w:before="0"/>
      </w:pPr>
      <w:r>
        <w:rPr>
          <w:b w:val="0"/>
          <w:sz w:val="22"/>
        </w:rPr>
        <w:t>(d) Stop blood transfusion and administer hydrocortisone</w:t>
      </w:r>
    </w:p>
    <w:p>
      <w:pPr>
        <w:spacing w:after="0" w:before="40"/>
      </w:pPr>
      <w:r>
        <w:rPr>
          <w:b/>
          <w:sz w:val="22"/>
        </w:rPr>
        <w:t>Answer: a</w:t>
      </w:r>
    </w:p>
    <w:p>
      <w:pPr>
        <w:spacing w:after="0" w:before="0"/>
      </w:pPr>
      <w:r>
        <w:rPr>
          <w:b w:val="0"/>
          <w:sz w:val="21"/>
        </w:rPr>
        <w:t>Solution: The priority nursing intervention for a patient with breathing difficulties during a blood transfusion is to stop the infusion immediately and inform the physician. This may indicate a transfusion reaction, such as transfusion-associated circulatory overload (TACO) or transfusion-related acute lung injury (TRALI), which requires prompt medical attention. Nurses should also closely monitor the patient's vital signs, maintain a patent airway, and administer supplemental oxygen as necessary.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most appropriate site for checking capillary refill time is:</w:t>
      </w:r>
    </w:p>
    <w:p>
      <w:pPr>
        <w:spacing w:after="0" w:before="0"/>
      </w:pPr>
      <w:r>
        <w:rPr>
          <w:b w:val="0"/>
          <w:sz w:val="22"/>
        </w:rPr>
        <w:t>(a) Earlobe</w:t>
      </w:r>
    </w:p>
    <w:p>
      <w:pPr>
        <w:spacing w:after="0" w:before="0"/>
      </w:pPr>
      <w:r>
        <w:rPr>
          <w:b w:val="0"/>
          <w:sz w:val="22"/>
        </w:rPr>
        <w:t>(b) Fingernail bed</w:t>
      </w:r>
    </w:p>
    <w:p>
      <w:pPr>
        <w:spacing w:after="0" w:before="0"/>
      </w:pPr>
      <w:r>
        <w:rPr>
          <w:b w:val="0"/>
          <w:sz w:val="22"/>
        </w:rPr>
        <w:t>(c) Forehead</w:t>
      </w:r>
    </w:p>
    <w:p>
      <w:pPr>
        <w:spacing w:after="0" w:before="0"/>
      </w:pPr>
      <w:r>
        <w:rPr>
          <w:b w:val="0"/>
          <w:sz w:val="22"/>
        </w:rPr>
        <w:t>(d) Sternum</w:t>
      </w:r>
    </w:p>
    <w:p>
      <w:pPr>
        <w:spacing w:after="0" w:before="40"/>
      </w:pPr>
      <w:r>
        <w:rPr>
          <w:b/>
          <w:sz w:val="22"/>
        </w:rPr>
        <w:t>Answer: b</w:t>
      </w:r>
    </w:p>
    <w:p>
      <w:pPr>
        <w:spacing w:after="0" w:before="0"/>
      </w:pPr>
      <w:r>
        <w:rPr>
          <w:b w:val="0"/>
          <w:sz w:val="21"/>
        </w:rPr>
        <w:t>Solution: Capillary refill is checked by pressing the fingernail bed; normal refill is less than 3 seconds.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is the least common cause of congestive cardiac failure in children?</w:t>
      </w:r>
    </w:p>
    <w:p>
      <w:pPr>
        <w:spacing w:after="0" w:before="0"/>
      </w:pPr>
      <w:r>
        <w:rPr>
          <w:b w:val="0"/>
          <w:sz w:val="22"/>
        </w:rPr>
        <w:t>(a) PDA</w:t>
      </w:r>
    </w:p>
    <w:p>
      <w:pPr>
        <w:spacing w:after="0" w:before="0"/>
      </w:pPr>
      <w:r>
        <w:rPr>
          <w:b w:val="0"/>
          <w:sz w:val="22"/>
        </w:rPr>
        <w:t>(b) VSD</w:t>
      </w:r>
    </w:p>
    <w:p>
      <w:pPr>
        <w:spacing w:after="0" w:before="0"/>
      </w:pPr>
      <w:r>
        <w:rPr>
          <w:b w:val="0"/>
          <w:sz w:val="22"/>
        </w:rPr>
        <w:t>(c) ASD</w:t>
      </w:r>
    </w:p>
    <w:p>
      <w:pPr>
        <w:spacing w:after="0" w:before="0"/>
      </w:pPr>
      <w:r>
        <w:rPr>
          <w:b w:val="0"/>
          <w:sz w:val="22"/>
        </w:rPr>
        <w:t>(d) Transposition of Great Arteries</w:t>
      </w:r>
    </w:p>
    <w:p>
      <w:pPr>
        <w:spacing w:after="0" w:before="40"/>
      </w:pPr>
      <w:r>
        <w:rPr>
          <w:b/>
          <w:sz w:val="22"/>
        </w:rPr>
        <w:t>Answer: c</w:t>
      </w:r>
    </w:p>
    <w:p>
      <w:pPr>
        <w:spacing w:after="0" w:before="0"/>
      </w:pPr>
      <w:r>
        <w:rPr>
          <w:b w:val="0"/>
          <w:sz w:val="21"/>
        </w:rPr>
        <w:t>Solution: ASD usually remains asymptomatic in childhood and rarely causes cardiac failure, whereas VSD, PDA and transposition of the great arteries commonly cause heart failure in infancy.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burn patient with 30% TBSA burns in the first 24 hours should be monitored most closely for:</w:t>
      </w:r>
    </w:p>
    <w:p>
      <w:pPr>
        <w:spacing w:after="0" w:before="0"/>
      </w:pPr>
      <w:r>
        <w:rPr>
          <w:b w:val="0"/>
          <w:sz w:val="22"/>
        </w:rPr>
        <w:t>(a) Hyperglycemia</w:t>
      </w:r>
    </w:p>
    <w:p>
      <w:pPr>
        <w:spacing w:after="0" w:before="0"/>
      </w:pPr>
      <w:r>
        <w:rPr>
          <w:b w:val="0"/>
          <w:sz w:val="22"/>
        </w:rPr>
        <w:t>(b) Constipation</w:t>
      </w:r>
    </w:p>
    <w:p>
      <w:pPr>
        <w:spacing w:after="0" w:before="0"/>
      </w:pPr>
      <w:r>
        <w:rPr>
          <w:b w:val="0"/>
          <w:sz w:val="22"/>
        </w:rPr>
        <w:t>(c) Hyperkalemia only</w:t>
      </w:r>
    </w:p>
    <w:p>
      <w:pPr>
        <w:spacing w:after="0" w:before="0"/>
      </w:pPr>
      <w:r>
        <w:rPr>
          <w:b w:val="0"/>
          <w:sz w:val="22"/>
        </w:rPr>
        <w:t>(d) Hypovolaemic shock</w:t>
      </w:r>
    </w:p>
    <w:p>
      <w:pPr>
        <w:spacing w:after="0" w:before="40"/>
      </w:pPr>
      <w:r>
        <w:rPr>
          <w:b/>
          <w:sz w:val="22"/>
        </w:rPr>
        <w:t>Answer: d</w:t>
      </w:r>
    </w:p>
    <w:p>
      <w:pPr>
        <w:spacing w:after="0" w:before="0"/>
      </w:pPr>
      <w:r>
        <w:rPr>
          <w:b w:val="0"/>
          <w:sz w:val="21"/>
        </w:rPr>
        <w:t>Solution: Fluid shift from the intravascular compartment causes hypovolaemic shock in the first 24-48 hours after burns.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Following death, the subjective response surviving experienced by the loved ones is called:</w:t>
      </w:r>
    </w:p>
    <w:p>
      <w:pPr>
        <w:spacing w:after="0" w:before="0"/>
      </w:pPr>
      <w:r>
        <w:rPr>
          <w:b w:val="0"/>
          <w:sz w:val="22"/>
        </w:rPr>
        <w:t>(a) Grief</w:t>
      </w:r>
    </w:p>
    <w:p>
      <w:pPr>
        <w:spacing w:after="0" w:before="0"/>
      </w:pPr>
      <w:r>
        <w:rPr>
          <w:b w:val="0"/>
          <w:sz w:val="22"/>
        </w:rPr>
        <w:t>(b) Compliance</w:t>
      </w:r>
    </w:p>
    <w:p>
      <w:pPr>
        <w:spacing w:after="0" w:before="0"/>
      </w:pPr>
      <w:r>
        <w:rPr>
          <w:b w:val="0"/>
          <w:sz w:val="22"/>
        </w:rPr>
        <w:t>(c) Mourning</w:t>
      </w:r>
    </w:p>
    <w:p>
      <w:pPr>
        <w:spacing w:after="0" w:before="0"/>
      </w:pPr>
      <w:r>
        <w:rPr>
          <w:b w:val="0"/>
          <w:sz w:val="22"/>
        </w:rPr>
        <w:t>(d) Bereavement</w:t>
      </w:r>
    </w:p>
    <w:p>
      <w:pPr>
        <w:spacing w:after="0" w:before="40"/>
      </w:pPr>
      <w:r>
        <w:rPr>
          <w:b/>
          <w:sz w:val="22"/>
        </w:rPr>
        <w:t>Answer: a</w:t>
      </w:r>
    </w:p>
    <w:p>
      <w:pPr>
        <w:spacing w:after="0" w:before="0"/>
      </w:pPr>
      <w:r>
        <w:rPr>
          <w:b w:val="0"/>
          <w:sz w:val="21"/>
        </w:rPr>
        <w:t>Solution: Grief is the subjective emotional response experienced by the survivor following the death of a loved one.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Vaccine that can be freeze and still it does not lose its potency</w:t>
      </w:r>
    </w:p>
    <w:p>
      <w:pPr>
        <w:spacing w:after="0" w:before="0"/>
      </w:pPr>
      <w:r>
        <w:rPr>
          <w:b w:val="0"/>
          <w:sz w:val="22"/>
        </w:rPr>
        <w:t>(a) OPV</w:t>
      </w:r>
    </w:p>
    <w:p>
      <w:pPr>
        <w:spacing w:after="0" w:before="0"/>
      </w:pPr>
      <w:r>
        <w:rPr>
          <w:b w:val="0"/>
          <w:sz w:val="22"/>
        </w:rPr>
        <w:t>(b) TT</w:t>
      </w:r>
    </w:p>
    <w:p>
      <w:pPr>
        <w:spacing w:after="0" w:before="0"/>
      </w:pPr>
      <w:r>
        <w:rPr>
          <w:b w:val="0"/>
          <w:sz w:val="22"/>
        </w:rPr>
        <w:t>(c) MMR</w:t>
      </w:r>
    </w:p>
    <w:p>
      <w:pPr>
        <w:spacing w:after="0" w:before="0"/>
      </w:pPr>
      <w:r>
        <w:rPr>
          <w:b w:val="0"/>
          <w:sz w:val="22"/>
        </w:rPr>
        <w:t>(d) DPT</w:t>
      </w:r>
    </w:p>
    <w:p>
      <w:pPr>
        <w:spacing w:after="0" w:before="40"/>
      </w:pPr>
      <w:r>
        <w:rPr>
          <w:b/>
          <w:sz w:val="22"/>
        </w:rPr>
        <w:t>Answer: c</w:t>
      </w:r>
    </w:p>
    <w:p>
      <w:pPr>
        <w:spacing w:after="0" w:before="0"/>
      </w:pPr>
      <w:r>
        <w:rPr>
          <w:b w:val="0"/>
          <w:sz w:val="21"/>
        </w:rPr>
        <w:t>Solution: MMR is a freeze-dried vaccine that can be frozen without losing potency.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Endotracheal tube formula for uncuffed child</w:t>
      </w:r>
    </w:p>
    <w:p>
      <w:pPr>
        <w:spacing w:after="0" w:before="0"/>
      </w:pPr>
      <w:r>
        <w:rPr>
          <w:b w:val="0"/>
          <w:sz w:val="22"/>
        </w:rPr>
        <w:t>(a) (age in years/4) + 4</w:t>
      </w:r>
    </w:p>
    <w:p>
      <w:pPr>
        <w:spacing w:after="0" w:before="0"/>
      </w:pPr>
      <w:r>
        <w:rPr>
          <w:b w:val="0"/>
          <w:sz w:val="22"/>
        </w:rPr>
        <w:t>(b) (age in years/4) + 3.5</w:t>
      </w:r>
    </w:p>
    <w:p>
      <w:pPr>
        <w:spacing w:after="0" w:before="0"/>
      </w:pPr>
      <w:r>
        <w:rPr>
          <w:b w:val="0"/>
          <w:sz w:val="22"/>
        </w:rPr>
        <w:t>(c) (age in years/3.5) + 4</w:t>
      </w:r>
    </w:p>
    <w:p>
      <w:pPr>
        <w:spacing w:after="0" w:before="0"/>
      </w:pPr>
      <w:r>
        <w:rPr>
          <w:b w:val="0"/>
          <w:sz w:val="22"/>
        </w:rPr>
        <w:t>(d) (age in years/3.5) + 3.5</w:t>
      </w:r>
    </w:p>
    <w:p>
      <w:pPr>
        <w:spacing w:after="0" w:before="40"/>
      </w:pPr>
      <w:r>
        <w:rPr>
          <w:b/>
          <w:sz w:val="22"/>
        </w:rPr>
        <w:t>Answer: a</w:t>
      </w:r>
    </w:p>
    <w:p>
      <w:pPr>
        <w:spacing w:after="0" w:before="0"/>
      </w:pPr>
      <w:r>
        <w:rPr>
          <w:b w:val="0"/>
          <w:sz w:val="21"/>
        </w:rPr>
        <w:t>Solution: The uncuffed endotracheal tube size for children = (age in years/4) + 4.</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All of the following covid symptoms in the child, except?</w:t>
      </w:r>
    </w:p>
    <w:p>
      <w:pPr>
        <w:spacing w:after="0" w:before="0"/>
      </w:pPr>
      <w:r>
        <w:rPr>
          <w:b w:val="0"/>
          <w:sz w:val="22"/>
        </w:rPr>
        <w:t>(a) Shock</w:t>
      </w:r>
    </w:p>
    <w:p>
      <w:pPr>
        <w:spacing w:after="0" w:before="0"/>
      </w:pPr>
      <w:r>
        <w:rPr>
          <w:b w:val="0"/>
          <w:sz w:val="22"/>
        </w:rPr>
        <w:t>(b) Rhinitis</w:t>
      </w:r>
    </w:p>
    <w:p>
      <w:pPr>
        <w:spacing w:after="0" w:before="0"/>
      </w:pPr>
      <w:r>
        <w:rPr>
          <w:b w:val="0"/>
          <w:sz w:val="22"/>
        </w:rPr>
        <w:t>(c) Purulent conjunctivitis</w:t>
      </w:r>
    </w:p>
    <w:p>
      <w:pPr>
        <w:spacing w:after="0" w:before="0"/>
      </w:pPr>
      <w:r>
        <w:rPr>
          <w:b w:val="0"/>
          <w:sz w:val="22"/>
        </w:rPr>
        <w:t>(d) Fever</w:t>
      </w:r>
    </w:p>
    <w:p>
      <w:pPr>
        <w:spacing w:after="0" w:before="40"/>
      </w:pPr>
      <w:r>
        <w:rPr>
          <w:b/>
          <w:sz w:val="22"/>
        </w:rPr>
        <w:t>Answer: a</w:t>
      </w:r>
    </w:p>
    <w:p>
      <w:pPr>
        <w:spacing w:after="0" w:before="0"/>
      </w:pPr>
      <w:r>
        <w:rPr>
          <w:b w:val="0"/>
          <w:sz w:val="21"/>
        </w:rPr>
        <w:t>Solution: In children, shock is not typically considered a common symptom of COVID-19 (option A). Children infected with COVID-19 may exhibit a range of symptoms, but shock, which refers to a life-threatening condition characterized by inadequate blood flow to vital organs, is not commonly associated with the infection in children. Instead, common symptoms in children with COVID-19 may include fever, cough, sore throat, rhinitis (runny nose), fatigue, headache, gastrointestinal symptoms, such as nausea and diarrhea, and in some cases, skin rashes. It is important to note that the symptoms of COVID-19 can vary among individuals, and medical evaluation should be sought for proper diagnosis and management. covid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site cannot be used for IM injection to prevent injury in sciatic nerves?</w:t>
      </w:r>
    </w:p>
    <w:p>
      <w:pPr>
        <w:spacing w:after="0" w:before="0"/>
      </w:pPr>
      <w:r>
        <w:rPr>
          <w:b w:val="0"/>
          <w:sz w:val="22"/>
        </w:rPr>
        <w:t>(a) Ventrogluteal</w:t>
      </w:r>
    </w:p>
    <w:p>
      <w:pPr>
        <w:spacing w:after="0" w:before="0"/>
      </w:pPr>
      <w:r>
        <w:rPr>
          <w:b w:val="0"/>
          <w:sz w:val="22"/>
        </w:rPr>
        <w:t>(b) Dorsogluteal</w:t>
      </w:r>
    </w:p>
    <w:p>
      <w:pPr>
        <w:spacing w:after="0" w:before="0"/>
      </w:pPr>
      <w:r>
        <w:rPr>
          <w:b w:val="0"/>
          <w:sz w:val="22"/>
        </w:rPr>
        <w:t>(c) Deltoid</w:t>
      </w:r>
    </w:p>
    <w:p>
      <w:pPr>
        <w:spacing w:after="0" w:before="0"/>
      </w:pPr>
      <w:r>
        <w:rPr>
          <w:b w:val="0"/>
          <w:sz w:val="22"/>
        </w:rPr>
        <w:t>(d) Vastaslatralis</w:t>
      </w:r>
    </w:p>
    <w:p>
      <w:pPr>
        <w:spacing w:after="0" w:before="40"/>
      </w:pPr>
      <w:r>
        <w:rPr>
          <w:b/>
          <w:sz w:val="22"/>
        </w:rPr>
        <w:t>Answer: b</w:t>
      </w:r>
    </w:p>
    <w:p>
      <w:pPr>
        <w:spacing w:after="0" w:before="0"/>
      </w:pPr>
      <w:r>
        <w:rPr>
          <w:b w:val="0"/>
          <w:sz w:val="21"/>
        </w:rPr>
        <w:t>Solution: The dorsogluteal site is no longer recommended as the preferred site for IM injections due to the risk of injury to the sciatic nerve. The sciatic nerve is the largest nerve in the body and runs through the buttock area, close to the dorsogluteal site where injections are commonly given. If the injection is not administered correctly, the needle can injure or irritate the sciatic nerve, leading to nerve damage. The ventrogluteal (most Enjections 2 FONT preferable), deltoid and vastus lateralis sites are now considered safer and more appropriate sites for IM injection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To assess the pulse in child ____________ is most appropriate site</w:t>
      </w:r>
    </w:p>
    <w:p>
      <w:pPr>
        <w:spacing w:after="0" w:before="0"/>
      </w:pPr>
      <w:r>
        <w:rPr>
          <w:b w:val="0"/>
          <w:sz w:val="22"/>
        </w:rPr>
        <w:t>(a) Brachial</w:t>
      </w:r>
    </w:p>
    <w:p>
      <w:pPr>
        <w:spacing w:after="0" w:before="0"/>
      </w:pPr>
      <w:r>
        <w:rPr>
          <w:b w:val="0"/>
          <w:sz w:val="22"/>
        </w:rPr>
        <w:t>(b) Apical</w:t>
      </w:r>
    </w:p>
    <w:p>
      <w:pPr>
        <w:spacing w:after="0" w:before="0"/>
      </w:pPr>
      <w:r>
        <w:rPr>
          <w:b w:val="0"/>
          <w:sz w:val="22"/>
        </w:rPr>
        <w:t>(c) Carotid</w:t>
      </w:r>
    </w:p>
    <w:p>
      <w:pPr>
        <w:spacing w:after="0" w:before="0"/>
      </w:pPr>
      <w:r>
        <w:rPr>
          <w:b w:val="0"/>
          <w:sz w:val="22"/>
        </w:rPr>
        <w:t>(d) Femoral</w:t>
      </w:r>
    </w:p>
    <w:p>
      <w:pPr>
        <w:spacing w:after="0" w:before="40"/>
      </w:pPr>
      <w:r>
        <w:rPr>
          <w:b/>
          <w:sz w:val="22"/>
        </w:rPr>
        <w:t>Answer: b</w:t>
      </w:r>
    </w:p>
    <w:p>
      <w:pPr>
        <w:spacing w:after="0" w:before="0"/>
      </w:pPr>
      <w:r>
        <w:rPr>
          <w:b w:val="0"/>
          <w:sz w:val="21"/>
        </w:rPr>
        <w:t>Solution: The apical site is the most appropriate site to assess the pulse in a child (especially infants) as peripheral pulses are weak.</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on DOTS therapy for tuberculosis reports orange-red discoloration of urine. What should the nurse explain?</w:t>
      </w:r>
    </w:p>
    <w:p>
      <w:pPr>
        <w:spacing w:after="0" w:before="0"/>
      </w:pPr>
      <w:r>
        <w:rPr>
          <w:b w:val="0"/>
          <w:sz w:val="22"/>
        </w:rPr>
        <w:t>(a) The drug must be stopped immediately</w:t>
      </w:r>
    </w:p>
    <w:p>
      <w:pPr>
        <w:spacing w:after="0" w:before="0"/>
      </w:pPr>
      <w:r>
        <w:rPr>
          <w:b w:val="0"/>
          <w:sz w:val="22"/>
        </w:rPr>
        <w:t>(b) It is a harmless side effect of rifampicin and therapy must continue</w:t>
      </w:r>
    </w:p>
    <w:p>
      <w:pPr>
        <w:spacing w:after="0" w:before="0"/>
      </w:pPr>
      <w:r>
        <w:rPr>
          <w:b w:val="0"/>
          <w:sz w:val="22"/>
        </w:rPr>
        <w:t>(c) The client needs a higher dose</w:t>
      </w:r>
    </w:p>
    <w:p>
      <w:pPr>
        <w:spacing w:after="0" w:before="0"/>
      </w:pPr>
      <w:r>
        <w:rPr>
          <w:b w:val="0"/>
          <w:sz w:val="22"/>
        </w:rPr>
        <w:t>(d) It indicates liver damage</w:t>
      </w:r>
    </w:p>
    <w:p>
      <w:pPr>
        <w:spacing w:after="0" w:before="40"/>
      </w:pPr>
      <w:r>
        <w:rPr>
          <w:b/>
          <w:sz w:val="22"/>
        </w:rPr>
        <w:t>Answer: b</w:t>
      </w:r>
    </w:p>
    <w:p>
      <w:pPr>
        <w:spacing w:after="0" w:before="0"/>
      </w:pPr>
      <w:r>
        <w:rPr>
          <w:b w:val="0"/>
          <w:sz w:val="21"/>
        </w:rPr>
        <w:t>Solution: Rifampicin harmlessly turns urine (and tears/sweat) orange-red; the client is reassured and adherence continues. Jaundice or hepatitis symptoms, however, require evaluation.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From following, which is the appropriate method of holding the baby for breast-feeding?</w:t>
      </w:r>
    </w:p>
    <w:p>
      <w:pPr>
        <w:spacing w:after="0" w:before="0"/>
      </w:pPr>
      <w:r>
        <w:rPr>
          <w:b w:val="0"/>
          <w:sz w:val="22"/>
        </w:rPr>
        <w:t>(a) hold only neck</w:t>
      </w:r>
    </w:p>
    <w:p>
      <w:pPr>
        <w:spacing w:after="0" w:before="0"/>
      </w:pPr>
      <w:r>
        <w:rPr>
          <w:b w:val="0"/>
          <w:sz w:val="22"/>
        </w:rPr>
        <w:t>(b) hold baby's lower part</w:t>
      </w:r>
    </w:p>
    <w:p>
      <w:pPr>
        <w:spacing w:after="0" w:before="0"/>
      </w:pPr>
      <w:r>
        <w:rPr>
          <w:b w:val="0"/>
          <w:sz w:val="22"/>
        </w:rPr>
        <w:t>(c) hold baby in upright position</w:t>
      </w:r>
    </w:p>
    <w:p>
      <w:pPr>
        <w:spacing w:after="0" w:before="0"/>
      </w:pPr>
      <w:r>
        <w:rPr>
          <w:b w:val="0"/>
          <w:sz w:val="22"/>
        </w:rPr>
        <w:t>(d) hold baby giving support to whole body</w:t>
      </w:r>
    </w:p>
    <w:p>
      <w:pPr>
        <w:spacing w:after="0" w:before="40"/>
      </w:pPr>
      <w:r>
        <w:rPr>
          <w:b/>
          <w:sz w:val="22"/>
        </w:rPr>
        <w:t>Answer: d</w:t>
      </w:r>
    </w:p>
    <w:p>
      <w:pPr>
        <w:spacing w:after="0" w:before="0"/>
      </w:pPr>
      <w:r>
        <w:rPr>
          <w:b w:val="0"/>
          <w:sz w:val="21"/>
        </w:rPr>
        <w:t>Solution: The mother should hold the baby giving support to the whole body during breastfeeding.</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mechanism by which spraying kerosene on stagnant water kills Anopheles mosquitoes?</w:t>
      </w:r>
    </w:p>
    <w:p>
      <w:pPr>
        <w:spacing w:after="0" w:before="0"/>
      </w:pPr>
      <w:r>
        <w:rPr>
          <w:b w:val="0"/>
          <w:sz w:val="22"/>
        </w:rPr>
        <w:t>(a) Burning of body wall</w:t>
      </w:r>
    </w:p>
    <w:p>
      <w:pPr>
        <w:spacing w:after="0" w:before="0"/>
      </w:pPr>
      <w:r>
        <w:rPr>
          <w:b w:val="0"/>
          <w:sz w:val="22"/>
        </w:rPr>
        <w:t>(b) Prevention of spiracle to come in contact with air</w:t>
      </w:r>
    </w:p>
    <w:p>
      <w:pPr>
        <w:spacing w:after="0" w:before="0"/>
      </w:pPr>
      <w:r>
        <w:rPr>
          <w:b w:val="0"/>
          <w:sz w:val="22"/>
        </w:rPr>
        <w:t>(c) Diffusion into body</w:t>
      </w:r>
    </w:p>
    <w:p>
      <w:pPr>
        <w:spacing w:after="0" w:before="0"/>
      </w:pPr>
      <w:r>
        <w:rPr>
          <w:b w:val="0"/>
          <w:sz w:val="22"/>
        </w:rPr>
        <w:t>(d) Entry into and blocking of respiratory tract</w:t>
      </w:r>
    </w:p>
    <w:p>
      <w:pPr>
        <w:spacing w:after="0" w:before="40"/>
      </w:pPr>
      <w:r>
        <w:rPr>
          <w:b/>
          <w:sz w:val="22"/>
        </w:rPr>
        <w:t>Answer: d</w:t>
      </w:r>
    </w:p>
    <w:p>
      <w:pPr>
        <w:spacing w:after="0" w:before="0"/>
      </w:pPr>
      <w:r>
        <w:rPr>
          <w:b w:val="0"/>
          <w:sz w:val="21"/>
        </w:rPr>
        <w:t>Solution: Spraying kerosene on stagnant water kills Anopheles mosquitoes by the mechanism of entry into and blocking of the respiratory tract. Kerosene forms a film over the water surface, depriving the mosquito larvae and pupae of access to atmospheric oxygen. Mosquito larvae and pupae breathe through specialized structures called spiracles, which are connected to their respiratory system. When the kerosene film is formed on the water, it blocks the spiracles, preventing the larvae and pupae from obtaining oxygen and leading to their suffocation and death.</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All are true about Febrile seizure in children except</w:t>
      </w:r>
    </w:p>
    <w:p>
      <w:pPr>
        <w:spacing w:after="0" w:before="0"/>
      </w:pPr>
      <w:r>
        <w:rPr>
          <w:b w:val="0"/>
          <w:sz w:val="22"/>
        </w:rPr>
        <w:t>(a) Cerebral hypoxia is evident</w:t>
      </w:r>
    </w:p>
    <w:p>
      <w:pPr>
        <w:spacing w:after="0" w:before="0"/>
      </w:pPr>
      <w:r>
        <w:rPr>
          <w:b w:val="0"/>
          <w:sz w:val="22"/>
        </w:rPr>
        <w:t>(b) Young age is not a major risk factor</w:t>
      </w:r>
    </w:p>
    <w:p>
      <w:pPr>
        <w:spacing w:after="0" w:before="0"/>
      </w:pPr>
      <w:r>
        <w:rPr>
          <w:b w:val="0"/>
          <w:sz w:val="22"/>
        </w:rPr>
        <w:t>(c) Risk of injury</w:t>
      </w:r>
    </w:p>
    <w:p>
      <w:pPr>
        <w:spacing w:after="0" w:before="0"/>
      </w:pPr>
      <w:r>
        <w:rPr>
          <w:b w:val="0"/>
          <w:sz w:val="22"/>
        </w:rPr>
        <w:t>(d) Administer PCM as a part of management of Febrile seizure</w:t>
      </w:r>
    </w:p>
    <w:p>
      <w:pPr>
        <w:spacing w:after="0" w:before="40"/>
      </w:pPr>
      <w:r>
        <w:rPr>
          <w:b/>
          <w:sz w:val="22"/>
        </w:rPr>
        <w:t>Answer: b</w:t>
      </w:r>
    </w:p>
    <w:p>
      <w:pPr>
        <w:spacing w:after="0" w:before="0"/>
      </w:pPr>
      <w:r>
        <w:rPr>
          <w:b w:val="0"/>
          <w:sz w:val="21"/>
        </w:rPr>
        <w:t>Solution: Febrile seizures occur in young children (6 months-5 years); age is a recognised risk factor, so 'young age is not a major risk factor' is the false statement.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is a most leading cause of under 5 children infection in worldwide?</w:t>
      </w:r>
    </w:p>
    <w:p>
      <w:pPr>
        <w:spacing w:after="0" w:before="0"/>
      </w:pPr>
      <w:r>
        <w:rPr>
          <w:b w:val="0"/>
          <w:sz w:val="22"/>
        </w:rPr>
        <w:t>(a) Pneumonia</w:t>
      </w:r>
    </w:p>
    <w:p>
      <w:pPr>
        <w:spacing w:after="0" w:before="0"/>
      </w:pPr>
      <w:r>
        <w:rPr>
          <w:b w:val="0"/>
          <w:sz w:val="22"/>
        </w:rPr>
        <w:t>(b) Birthasphyxia</w:t>
      </w:r>
    </w:p>
    <w:p>
      <w:pPr>
        <w:spacing w:after="0" w:before="0"/>
      </w:pPr>
      <w:r>
        <w:rPr>
          <w:b w:val="0"/>
          <w:sz w:val="22"/>
        </w:rPr>
        <w:t>(c) URTI</w:t>
      </w:r>
    </w:p>
    <w:p>
      <w:pPr>
        <w:spacing w:after="0" w:before="0"/>
      </w:pPr>
      <w:r>
        <w:rPr>
          <w:b w:val="0"/>
          <w:sz w:val="22"/>
        </w:rPr>
        <w:t>(d) Diarrhoea</w:t>
      </w:r>
    </w:p>
    <w:p>
      <w:pPr>
        <w:spacing w:after="0" w:before="40"/>
      </w:pPr>
      <w:r>
        <w:rPr>
          <w:b/>
          <w:sz w:val="22"/>
        </w:rPr>
        <w:t>Answer: a</w:t>
      </w:r>
    </w:p>
    <w:p>
      <w:pPr>
        <w:spacing w:after="0" w:before="0"/>
      </w:pPr>
      <w:r>
        <w:rPr>
          <w:b w:val="0"/>
          <w:sz w:val="21"/>
        </w:rPr>
        <w:t>Solution: Pneumonia is the leading infectious cause of death in children under 5 years worldwide, accounting for about 14% of all deaths in this age group.</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ORS (Oral Rehydration Solution) should be given in acute diarrhoea:</w:t>
      </w:r>
    </w:p>
    <w:p>
      <w:pPr>
        <w:spacing w:after="0" w:before="0"/>
      </w:pPr>
      <w:r>
        <w:rPr>
          <w:b w:val="0"/>
          <w:sz w:val="22"/>
        </w:rPr>
        <w:t>(a) Only with antibiotics</w:t>
      </w:r>
    </w:p>
    <w:p>
      <w:pPr>
        <w:spacing w:after="0" w:before="0"/>
      </w:pPr>
      <w:r>
        <w:rPr>
          <w:b w:val="0"/>
          <w:sz w:val="22"/>
        </w:rPr>
        <w:t>(b) Only if the child is vomiting</w:t>
      </w:r>
    </w:p>
    <w:p>
      <w:pPr>
        <w:spacing w:after="0" w:before="0"/>
      </w:pPr>
      <w:r>
        <w:rPr>
          <w:b w:val="0"/>
          <w:sz w:val="22"/>
        </w:rPr>
        <w:t>(c) After every loose stool in small amounts</w:t>
      </w:r>
    </w:p>
    <w:p>
      <w:pPr>
        <w:spacing w:after="0" w:before="0"/>
      </w:pPr>
      <w:r>
        <w:rPr>
          <w:b w:val="0"/>
          <w:sz w:val="22"/>
        </w:rPr>
        <w:t>(d) Only when the child is hospitalised</w:t>
      </w:r>
    </w:p>
    <w:p>
      <w:pPr>
        <w:spacing w:after="0" w:before="40"/>
      </w:pPr>
      <w:r>
        <w:rPr>
          <w:b/>
          <w:sz w:val="22"/>
        </w:rPr>
        <w:t>Answer: c</w:t>
      </w:r>
    </w:p>
    <w:p>
      <w:pPr>
        <w:spacing w:after="0" w:before="0"/>
      </w:pPr>
      <w:r>
        <w:rPr>
          <w:b w:val="0"/>
          <w:sz w:val="21"/>
        </w:rPr>
        <w:t>Solution: ORS is given after each loose stool (about 50-100 ml per stool for a young child) to prevent dehydration.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is considered the best site for intramuscular (IM) injection in an infant?</w:t>
      </w:r>
    </w:p>
    <w:p>
      <w:pPr>
        <w:spacing w:after="0" w:before="0"/>
      </w:pPr>
      <w:r>
        <w:rPr>
          <w:b w:val="0"/>
          <w:sz w:val="22"/>
        </w:rPr>
        <w:t>(a) Vastus lateralis muscles</w:t>
      </w:r>
    </w:p>
    <w:p>
      <w:pPr>
        <w:spacing w:after="0" w:before="0"/>
      </w:pPr>
      <w:r>
        <w:rPr>
          <w:b w:val="0"/>
          <w:sz w:val="22"/>
        </w:rPr>
        <w:t>(b) Femoral muscle</w:t>
      </w:r>
    </w:p>
    <w:p>
      <w:pPr>
        <w:spacing w:after="0" w:before="0"/>
      </w:pPr>
      <w:r>
        <w:rPr>
          <w:b w:val="0"/>
          <w:sz w:val="22"/>
        </w:rPr>
        <w:t>(c) Deltoid muscles</w:t>
      </w:r>
    </w:p>
    <w:p>
      <w:pPr>
        <w:spacing w:after="0" w:before="0"/>
      </w:pPr>
      <w:r>
        <w:rPr>
          <w:b w:val="0"/>
          <w:sz w:val="22"/>
        </w:rPr>
        <w:t>(d) Dorsogluteal muscles</w:t>
      </w:r>
    </w:p>
    <w:p>
      <w:pPr>
        <w:spacing w:after="0" w:before="40"/>
      </w:pPr>
      <w:r>
        <w:rPr>
          <w:b/>
          <w:sz w:val="22"/>
        </w:rPr>
        <w:t>Answer: a</w:t>
      </w:r>
    </w:p>
    <w:p>
      <w:pPr>
        <w:spacing w:after="0" w:before="0"/>
      </w:pPr>
      <w:r>
        <w:rPr>
          <w:b w:val="0"/>
          <w:sz w:val="21"/>
        </w:rPr>
        <w:t>Solution: The best site for intramuscular (IM) injection in an infant is the vastus lateralis muscle. The vastus lateralis is located on the anterior lateral aspect of the thigh. It is a large, well-developed muscle in infants and young children, making it an ideal site for IM injections. The muscle has a thick mass of tissue and is less susceptible to injury or nerve damage during the injection. Additionally, the vastus lateralis has a good blood supply, allowing for efficient absorption of the medication.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Before suturing at the end of an open abdominal surgery, what is the mandatory priority action for the scrub nurse?</w:t>
      </w:r>
    </w:p>
    <w:p>
      <w:pPr>
        <w:spacing w:after="0" w:before="0"/>
      </w:pPr>
      <w:r>
        <w:rPr>
          <w:b w:val="0"/>
          <w:sz w:val="22"/>
        </w:rPr>
        <w:t>(a) Perform complete sponge, needle, and instrument count with circulator</w:t>
      </w:r>
    </w:p>
    <w:p>
      <w:pPr>
        <w:spacing w:after="0" w:before="0"/>
      </w:pPr>
      <w:r>
        <w:rPr>
          <w:b w:val="0"/>
          <w:sz w:val="22"/>
        </w:rPr>
        <w:t>(b) Disinfection of OT room</w:t>
      </w:r>
    </w:p>
    <w:p>
      <w:pPr>
        <w:spacing w:after="0" w:before="0"/>
      </w:pPr>
      <w:r>
        <w:rPr>
          <w:b w:val="0"/>
          <w:sz w:val="22"/>
        </w:rPr>
        <w:t>(c) Change surgical gown</w:t>
      </w:r>
    </w:p>
    <w:p>
      <w:pPr>
        <w:spacing w:after="0" w:before="0"/>
      </w:pPr>
      <w:r>
        <w:rPr>
          <w:b w:val="0"/>
          <w:sz w:val="22"/>
        </w:rPr>
        <w:t>(d) Clean instruments</w:t>
      </w:r>
    </w:p>
    <w:p>
      <w:pPr>
        <w:spacing w:after="0" w:before="40"/>
      </w:pPr>
      <w:r>
        <w:rPr>
          <w:b/>
          <w:sz w:val="22"/>
        </w:rPr>
        <w:t>Answer: a</w:t>
      </w:r>
    </w:p>
    <w:p>
      <w:pPr>
        <w:spacing w:after="0" w:before="0"/>
      </w:pPr>
      <w:r>
        <w:rPr>
          <w:b w:val="0"/>
          <w:sz w:val="21"/>
        </w:rPr>
        <w:t>Solution: A dual, verified count of surgical sponges, needles, and instruments before peritoneal closure is mandatory to prevent retained surgical items (gossypiboma).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vitamin is synthesized in the skin on exposure to sunlight?</w:t>
      </w:r>
    </w:p>
    <w:p>
      <w:pPr>
        <w:spacing w:after="0" w:before="0"/>
      </w:pPr>
      <w:r>
        <w:rPr>
          <w:b w:val="0"/>
          <w:sz w:val="22"/>
        </w:rPr>
        <w:t>(a) Vitamin D</w:t>
      </w:r>
    </w:p>
    <w:p>
      <w:pPr>
        <w:spacing w:after="0" w:before="0"/>
      </w:pPr>
      <w:r>
        <w:rPr>
          <w:b w:val="0"/>
          <w:sz w:val="22"/>
        </w:rPr>
        <w:t>(b) Vitamin A</w:t>
      </w:r>
    </w:p>
    <w:p>
      <w:pPr>
        <w:spacing w:after="0" w:before="0"/>
      </w:pPr>
      <w:r>
        <w:rPr>
          <w:b w:val="0"/>
          <w:sz w:val="22"/>
        </w:rPr>
        <w:t>(c) Vitamin C</w:t>
      </w:r>
    </w:p>
    <w:p>
      <w:pPr>
        <w:spacing w:after="0" w:before="0"/>
      </w:pPr>
      <w:r>
        <w:rPr>
          <w:b w:val="0"/>
          <w:sz w:val="22"/>
        </w:rPr>
        <w:t>(d) Vitamin E</w:t>
      </w:r>
    </w:p>
    <w:p>
      <w:pPr>
        <w:spacing w:after="0" w:before="40"/>
      </w:pPr>
      <w:r>
        <w:rPr>
          <w:b/>
          <w:sz w:val="22"/>
        </w:rPr>
        <w:t>Answer: a</w:t>
      </w:r>
    </w:p>
    <w:p>
      <w:pPr>
        <w:spacing w:after="0" w:before="0"/>
      </w:pPr>
      <w:r>
        <w:rPr>
          <w:b w:val="0"/>
          <w:sz w:val="21"/>
        </w:rPr>
        <w:t>Solution: Vitamin D (cholecalciferol) is synthesized in the skin from 7-dehydrocholesterol on exposure to ultraviolet B rays of sunlight.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is an example of an X-linked dominant disorder?</w:t>
      </w:r>
    </w:p>
    <w:p>
      <w:pPr>
        <w:spacing w:after="0" w:before="0"/>
      </w:pPr>
      <w:r>
        <w:rPr>
          <w:b w:val="0"/>
          <w:sz w:val="22"/>
        </w:rPr>
        <w:t>(a) Haemophilia</w:t>
      </w:r>
    </w:p>
    <w:p>
      <w:pPr>
        <w:spacing w:after="0" w:before="0"/>
      </w:pPr>
      <w:r>
        <w:rPr>
          <w:b w:val="0"/>
          <w:sz w:val="22"/>
        </w:rPr>
        <w:t>(b) Duchenne muscular dystrophy</w:t>
      </w:r>
    </w:p>
    <w:p>
      <w:pPr>
        <w:spacing w:after="0" w:before="0"/>
      </w:pPr>
      <w:r>
        <w:rPr>
          <w:b w:val="0"/>
          <w:sz w:val="22"/>
        </w:rPr>
        <w:t>(c) Vitamin D-resistant rickets</w:t>
      </w:r>
    </w:p>
    <w:p>
      <w:pPr>
        <w:spacing w:after="0" w:before="0"/>
      </w:pPr>
      <w:r>
        <w:rPr>
          <w:b w:val="0"/>
          <w:sz w:val="22"/>
        </w:rPr>
        <w:t>(d) Colour blindness</w:t>
      </w:r>
    </w:p>
    <w:p>
      <w:pPr>
        <w:spacing w:after="0" w:before="40"/>
      </w:pPr>
      <w:r>
        <w:rPr>
          <w:b/>
          <w:sz w:val="22"/>
        </w:rPr>
        <w:t>Answer: c</w:t>
      </w:r>
    </w:p>
    <w:p>
      <w:pPr>
        <w:spacing w:after="0" w:before="0"/>
      </w:pPr>
      <w:r>
        <w:rPr>
          <w:b w:val="0"/>
          <w:sz w:val="21"/>
        </w:rPr>
        <w:t>Solution: X-linked dominant disorders (e.g., vitamin D-resistant rickets) affect both sexes and an affected male transmits the trait to all daughters but to no sons; haemophilia, colour blindness and DMD are X-linked recessive.</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