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Antimicrobial dressing is composed of which of the following metal?</w:t>
      </w:r>
    </w:p>
    <w:p>
      <w:pPr>
        <w:spacing w:after="0" w:before="0"/>
      </w:pPr>
      <w:r>
        <w:rPr>
          <w:b w:val="0"/>
          <w:sz w:val="22"/>
        </w:rPr>
        <w:t>(a) Copper</w:t>
      </w:r>
    </w:p>
    <w:p>
      <w:pPr>
        <w:spacing w:after="0" w:before="0"/>
      </w:pPr>
      <w:r>
        <w:rPr>
          <w:b w:val="0"/>
          <w:sz w:val="22"/>
        </w:rPr>
        <w:t>(b) Silver</w:t>
      </w:r>
    </w:p>
    <w:p>
      <w:pPr>
        <w:spacing w:after="0" w:before="0"/>
      </w:pPr>
      <w:r>
        <w:rPr>
          <w:b w:val="0"/>
          <w:sz w:val="22"/>
        </w:rPr>
        <w:t>(c) Sodium</w:t>
      </w:r>
    </w:p>
    <w:p>
      <w:pPr>
        <w:spacing w:after="0" w:before="0"/>
      </w:pPr>
      <w:r>
        <w:rPr>
          <w:b w:val="0"/>
          <w:sz w:val="22"/>
        </w:rPr>
        <w:t>(d) Zinc</w:t>
      </w:r>
    </w:p>
    <w:p>
      <w:pPr>
        <w:spacing w:after="0" w:before="40"/>
      </w:pPr>
      <w:r>
        <w:rPr>
          <w:b/>
          <w:sz w:val="22"/>
        </w:rPr>
        <w:t>Answer: b</w:t>
      </w:r>
    </w:p>
    <w:p>
      <w:pPr>
        <w:spacing w:after="0" w:before="0"/>
      </w:pPr>
      <w:r>
        <w:rPr>
          <w:b w:val="0"/>
          <w:sz w:val="21"/>
        </w:rPr>
        <w:t>Solution: Antimicrobial dressings often contain silver as the active ingredient. Silver has broad-spectrum antimicrobial properties and is effective against a wide range of bacteria, fungi, and even some viruses. The use of silver in dressings helps prevent and manage wound infections by reducing the microbial load and promoting wound healing. The silver ions released from the dressing inhibit the growth and proliferation of microorganisms, ultimately aiding in the management of infected wounds. Therefore, silver-based antimicrobial dressings are commonly used in the treatment of various types of wounds.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on DOTS therapy for tuberculosis reports orange-red discoloration of urine. What should the nurse explain?</w:t>
      </w:r>
    </w:p>
    <w:p>
      <w:pPr>
        <w:spacing w:after="0" w:before="0"/>
      </w:pPr>
      <w:r>
        <w:rPr>
          <w:b w:val="0"/>
          <w:sz w:val="22"/>
        </w:rPr>
        <w:t>(a) It is a harmless side effect of rifampicin and therapy must continue</w:t>
      </w:r>
    </w:p>
    <w:p>
      <w:pPr>
        <w:spacing w:after="0" w:before="0"/>
      </w:pPr>
      <w:r>
        <w:rPr>
          <w:b w:val="0"/>
          <w:sz w:val="22"/>
        </w:rPr>
        <w:t>(b) The drug must be stopped immediately</w:t>
      </w:r>
    </w:p>
    <w:p>
      <w:pPr>
        <w:spacing w:after="0" w:before="0"/>
      </w:pPr>
      <w:r>
        <w:rPr>
          <w:b w:val="0"/>
          <w:sz w:val="22"/>
        </w:rPr>
        <w:t>(c) It indicates liver damage</w:t>
      </w:r>
    </w:p>
    <w:p>
      <w:pPr>
        <w:spacing w:after="0" w:before="0"/>
      </w:pPr>
      <w:r>
        <w:rPr>
          <w:b w:val="0"/>
          <w:sz w:val="22"/>
        </w:rPr>
        <w:t>(d) The client needs a higher dose</w:t>
      </w:r>
    </w:p>
    <w:p>
      <w:pPr>
        <w:spacing w:after="0" w:before="40"/>
      </w:pPr>
      <w:r>
        <w:rPr>
          <w:b/>
          <w:sz w:val="22"/>
        </w:rPr>
        <w:t>Answer: a</w:t>
      </w:r>
    </w:p>
    <w:p>
      <w:pPr>
        <w:spacing w:after="0" w:before="0"/>
      </w:pPr>
      <w:r>
        <w:rPr>
          <w:b w:val="0"/>
          <w:sz w:val="21"/>
        </w:rPr>
        <w:t>Solution: Rifampicin harmlessly turns urine (and tears/sweat) orange-red; the client is reassured and adherence continues. Jaundice or hepatitis symptoms, however, require evaluation.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Boat (Ship) is related to Rope; what is related to Foot?</w:t>
      </w:r>
    </w:p>
    <w:p>
      <w:pPr>
        <w:spacing w:after="0" w:before="0"/>
      </w:pPr>
      <w:r>
        <w:rPr>
          <w:b w:val="0"/>
          <w:sz w:val="22"/>
        </w:rPr>
        <w:t>(a) Speaker</w:t>
      </w:r>
    </w:p>
    <w:p>
      <w:pPr>
        <w:spacing w:after="0" w:before="0"/>
      </w:pPr>
      <w:r>
        <w:rPr>
          <w:b w:val="0"/>
          <w:sz w:val="22"/>
        </w:rPr>
        <w:t>(b) Wall Clock</w:t>
      </w:r>
    </w:p>
    <w:p>
      <w:pPr>
        <w:spacing w:after="0" w:before="0"/>
      </w:pPr>
      <w:r>
        <w:rPr>
          <w:b w:val="0"/>
          <w:sz w:val="22"/>
        </w:rPr>
        <w:t>(c) Mug of Water</w:t>
      </w:r>
    </w:p>
    <w:p>
      <w:pPr>
        <w:spacing w:after="0" w:before="0"/>
      </w:pPr>
      <w:r>
        <w:rPr>
          <w:b w:val="0"/>
          <w:sz w:val="22"/>
        </w:rPr>
        <w:t>(d) Measuring Tape</w:t>
      </w:r>
    </w:p>
    <w:p>
      <w:pPr>
        <w:spacing w:after="0" w:before="40"/>
      </w:pPr>
      <w:r>
        <w:rPr>
          <w:b/>
          <w:sz w:val="22"/>
        </w:rPr>
        <w:t>Answer: d</w:t>
      </w:r>
    </w:p>
    <w:p>
      <w:pPr>
        <w:spacing w:after="0" w:before="0"/>
      </w:pPr>
      <w:r>
        <w:rPr>
          <w:b w:val="0"/>
          <w:sz w:val="21"/>
        </w:rPr>
        <w:t>Solution: If "Boat (Ship)" is related to "Rope," then the correct choice related to "Foot" would be "Measuring Tape." In this analogy, "Rope" is a tool or object commonly associated with a "Boat" or "Ship" for various purposes such as tying, anchoring, or controlling the vessel. Similarly, "Measuring Tape" is a tool commonly associated with "Foot" for measuring length or distance. The other options, "Speaker," "Wall Clock," and "Mug of Water," do not have a direct association with "Foot." Synonyms English)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EARLIEST sign of respiratory distress in an infant?</w:t>
      </w:r>
    </w:p>
    <w:p>
      <w:pPr>
        <w:spacing w:after="0" w:before="0"/>
      </w:pPr>
      <w:r>
        <w:rPr>
          <w:b w:val="0"/>
          <w:sz w:val="22"/>
        </w:rPr>
        <w:t>(a) Bradycardia</w:t>
      </w:r>
    </w:p>
    <w:p>
      <w:pPr>
        <w:spacing w:after="0" w:before="0"/>
      </w:pPr>
      <w:r>
        <w:rPr>
          <w:b w:val="0"/>
          <w:sz w:val="22"/>
        </w:rPr>
        <w:t>(b) Gasping respirations</w:t>
      </w:r>
    </w:p>
    <w:p>
      <w:pPr>
        <w:spacing w:after="0" w:before="0"/>
      </w:pPr>
      <w:r>
        <w:rPr>
          <w:b w:val="0"/>
          <w:sz w:val="22"/>
        </w:rPr>
        <w:t>(c) Cyanosis</w:t>
      </w:r>
    </w:p>
    <w:p>
      <w:pPr>
        <w:spacing w:after="0" w:before="0"/>
      </w:pPr>
      <w:r>
        <w:rPr>
          <w:b w:val="0"/>
          <w:sz w:val="22"/>
        </w:rPr>
        <w:t>(d) Nasal flaring</w:t>
      </w:r>
    </w:p>
    <w:p>
      <w:pPr>
        <w:spacing w:after="0" w:before="40"/>
      </w:pPr>
      <w:r>
        <w:rPr>
          <w:b/>
          <w:sz w:val="22"/>
        </w:rPr>
        <w:t>Answer: d</w:t>
      </w:r>
    </w:p>
    <w:p>
      <w:pPr>
        <w:spacing w:after="0" w:before="0"/>
      </w:pPr>
      <w:r>
        <w:rPr>
          <w:b w:val="0"/>
          <w:sz w:val="21"/>
        </w:rPr>
        <w:t>Solution: Nasal flaring, grunting, retractions and tachypnea appear early; cyanosis and bradycardia are late, pre-arrest signs.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Type I immediate hypersensitivity allergic reaction is mediated primarily by immunoglobulin</w:t>
      </w:r>
    </w:p>
    <w:p>
      <w:pPr>
        <w:spacing w:after="0" w:before="0"/>
      </w:pPr>
      <w:r>
        <w:rPr>
          <w:b w:val="0"/>
          <w:sz w:val="22"/>
        </w:rPr>
        <w:t>(a) IgE</w:t>
      </w:r>
    </w:p>
    <w:p>
      <w:pPr>
        <w:spacing w:after="0" w:before="0"/>
      </w:pPr>
      <w:r>
        <w:rPr>
          <w:b w:val="0"/>
          <w:sz w:val="22"/>
        </w:rPr>
        <w:t>(b) IgM</w:t>
      </w:r>
    </w:p>
    <w:p>
      <w:pPr>
        <w:spacing w:after="0" w:before="0"/>
      </w:pPr>
      <w:r>
        <w:rPr>
          <w:b w:val="0"/>
          <w:sz w:val="22"/>
        </w:rPr>
        <w:t>(c) IgA</w:t>
      </w:r>
    </w:p>
    <w:p>
      <w:pPr>
        <w:spacing w:after="0" w:before="0"/>
      </w:pPr>
      <w:r>
        <w:rPr>
          <w:b w:val="0"/>
          <w:sz w:val="22"/>
        </w:rPr>
        <w:t>(d) IgG</w:t>
      </w:r>
    </w:p>
    <w:p>
      <w:pPr>
        <w:spacing w:after="0" w:before="40"/>
      </w:pPr>
      <w:r>
        <w:rPr>
          <w:b/>
          <w:sz w:val="22"/>
        </w:rPr>
        <w:t>Answer: a</w:t>
      </w:r>
    </w:p>
    <w:p>
      <w:pPr>
        <w:spacing w:after="0" w:before="0"/>
      </w:pPr>
      <w:r>
        <w:rPr>
          <w:b w:val="0"/>
          <w:sz w:val="21"/>
        </w:rPr>
        <w:t>Solution: IgE antibodies bind to mast cells and basophils, triggering histamine release upon allergen re-exposure in Type I hypersensitivity (anaphylaxis/asthma).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HPV vaccination schedule for adolescent girls?</w:t>
      </w:r>
    </w:p>
    <w:p>
      <w:pPr>
        <w:spacing w:after="0" w:before="0"/>
      </w:pPr>
      <w:r>
        <w:rPr>
          <w:b w:val="0"/>
          <w:sz w:val="22"/>
        </w:rPr>
        <w:t>(a) 2 doses, in 1,6 month interval 15 years of age group</w:t>
      </w:r>
    </w:p>
    <w:p>
      <w:pPr>
        <w:spacing w:after="0" w:before="0"/>
      </w:pPr>
      <w:r>
        <w:rPr>
          <w:b w:val="0"/>
          <w:sz w:val="22"/>
        </w:rPr>
        <w:t>(b) 3 doses, in 0, 1, 6 month interval &lt;15 years of age group</w:t>
      </w:r>
    </w:p>
    <w:p>
      <w:pPr>
        <w:spacing w:after="0" w:before="0"/>
      </w:pPr>
      <w:r>
        <w:rPr>
          <w:b w:val="0"/>
          <w:sz w:val="22"/>
        </w:rPr>
        <w:t>(c) 3 doses, in 0,6,12 month interval&lt;15 years of age group</w:t>
      </w:r>
    </w:p>
    <w:p>
      <w:pPr>
        <w:spacing w:after="0" w:before="0"/>
      </w:pPr>
      <w:r>
        <w:rPr>
          <w:b w:val="0"/>
          <w:sz w:val="22"/>
        </w:rPr>
        <w:t>(d) 3 doses, in 0,2.6 month interval 15 years of age group</w:t>
      </w:r>
    </w:p>
    <w:p>
      <w:pPr>
        <w:spacing w:after="0" w:before="40"/>
      </w:pPr>
      <w:r>
        <w:rPr>
          <w:b/>
          <w:sz w:val="22"/>
        </w:rPr>
        <w:t>Answer: b</w:t>
      </w:r>
    </w:p>
    <w:p>
      <w:pPr>
        <w:spacing w:after="0" w:before="0"/>
      </w:pPr>
      <w:r>
        <w:rPr>
          <w:b w:val="0"/>
          <w:sz w:val="21"/>
        </w:rPr>
        <w:t>Solution: The recommended HPV vaccination schedule for adolescent girls is three doses given in a 0, 1, 6-month interval for those under 15 years of age (option B). The HPV vaccine protects against several strains of the human papillomavirus, which is a common sexually transmitted infection and a leading cause of cervical cancer. The three-dose schedule provides optimal protection against HPV and is recommended for girls and boys starting at age 11 or 12. The interval between doses allows for the development of an adequate immune response. It is important to follow the recommended schedule to ensure maximum effectiveness of the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a fractured femur suddenly develops dyspnea, chest pain and confusion 48 hours after injury. Which complication should the nurse suspect FIRST?</w:t>
      </w:r>
    </w:p>
    <w:p>
      <w:pPr>
        <w:spacing w:after="0" w:before="0"/>
      </w:pPr>
      <w:r>
        <w:rPr>
          <w:b w:val="0"/>
          <w:sz w:val="22"/>
        </w:rPr>
        <w:t>(a) Hypovolemic shock</w:t>
      </w:r>
    </w:p>
    <w:p>
      <w:pPr>
        <w:spacing w:after="0" w:before="0"/>
      </w:pPr>
      <w:r>
        <w:rPr>
          <w:b w:val="0"/>
          <w:sz w:val="22"/>
        </w:rPr>
        <w:t>(b) Fat embolism syndrome</w:t>
      </w:r>
    </w:p>
    <w:p>
      <w:pPr>
        <w:spacing w:after="0" w:before="0"/>
      </w:pPr>
      <w:r>
        <w:rPr>
          <w:b w:val="0"/>
          <w:sz w:val="22"/>
        </w:rPr>
        <w:t>(c) Pulmonary embolism</w:t>
      </w:r>
    </w:p>
    <w:p>
      <w:pPr>
        <w:spacing w:after="0" w:before="0"/>
      </w:pPr>
      <w:r>
        <w:rPr>
          <w:b w:val="0"/>
          <w:sz w:val="22"/>
        </w:rPr>
        <w:t>(d) Pneumothorax</w:t>
      </w:r>
    </w:p>
    <w:p>
      <w:pPr>
        <w:spacing w:after="0" w:before="40"/>
      </w:pPr>
      <w:r>
        <w:rPr>
          <w:b/>
          <w:sz w:val="22"/>
        </w:rPr>
        <w:t>Answer: b</w:t>
      </w:r>
    </w:p>
    <w:p>
      <w:pPr>
        <w:spacing w:after="0" w:before="0"/>
      </w:pPr>
      <w:r>
        <w:rPr>
          <w:b w:val="0"/>
          <w:sz w:val="21"/>
        </w:rPr>
        <w:t>Solution: Fat embolism, most common after long-bone fractures, classically presents with respiratory distress and confusion 24-72 hours after injury (petechiae over the chest are a hallmark).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type of catheter is used for intermittent catheterization and is removed immediately after the bladder is emptied?</w:t>
      </w:r>
    </w:p>
    <w:p>
      <w:pPr>
        <w:spacing w:after="0" w:before="0"/>
      </w:pPr>
      <w:r>
        <w:rPr>
          <w:b w:val="0"/>
          <w:sz w:val="22"/>
        </w:rPr>
        <w:t>(a) Malecot catheter</w:t>
      </w:r>
    </w:p>
    <w:p>
      <w:pPr>
        <w:spacing w:after="0" w:before="0"/>
      </w:pPr>
      <w:r>
        <w:rPr>
          <w:b w:val="0"/>
          <w:sz w:val="22"/>
        </w:rPr>
        <w:t>(b) Straight (Nelaton) catheter</w:t>
      </w:r>
    </w:p>
    <w:p>
      <w:pPr>
        <w:spacing w:after="0" w:before="0"/>
      </w:pPr>
      <w:r>
        <w:rPr>
          <w:b w:val="0"/>
          <w:sz w:val="22"/>
        </w:rPr>
        <w:t>(c) Foley catheter</w:t>
      </w:r>
    </w:p>
    <w:p>
      <w:pPr>
        <w:spacing w:after="0" w:before="0"/>
      </w:pPr>
      <w:r>
        <w:rPr>
          <w:b w:val="0"/>
          <w:sz w:val="22"/>
        </w:rPr>
        <w:t>(d) Pezzer catheter</w:t>
      </w:r>
    </w:p>
    <w:p>
      <w:pPr>
        <w:spacing w:after="0" w:before="40"/>
      </w:pPr>
      <w:r>
        <w:rPr>
          <w:b/>
          <w:sz w:val="22"/>
        </w:rPr>
        <w:t>Answer: b</w:t>
      </w:r>
    </w:p>
    <w:p>
      <w:pPr>
        <w:spacing w:after="0" w:before="0"/>
      </w:pPr>
      <w:r>
        <w:rPr>
          <w:b w:val="0"/>
          <w:sz w:val="21"/>
        </w:rPr>
        <w:t>Solution: A straight (Nelaton) catheter is a single-lumen catheter used for intermittent catheterization and is removed once the bladder is drained; a Foley catheter is self-retaining because of its balloon.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Effective way to destroy the malaria larva</w:t>
      </w:r>
    </w:p>
    <w:p>
      <w:pPr>
        <w:spacing w:after="0" w:before="0"/>
      </w:pPr>
      <w:r>
        <w:rPr>
          <w:b w:val="0"/>
          <w:sz w:val="22"/>
        </w:rPr>
        <w:t>(a) Using gambos fish</w:t>
      </w:r>
    </w:p>
    <w:p>
      <w:pPr>
        <w:spacing w:after="0" w:before="0"/>
      </w:pPr>
      <w:r>
        <w:rPr>
          <w:b w:val="0"/>
          <w:sz w:val="22"/>
        </w:rPr>
        <w:t>(b) Use of kerosene</w:t>
      </w:r>
    </w:p>
    <w:p>
      <w:pPr>
        <w:spacing w:after="0" w:before="0"/>
      </w:pPr>
      <w:r>
        <w:rPr>
          <w:b w:val="0"/>
          <w:sz w:val="22"/>
        </w:rPr>
        <w:t>(c) Use of Spirit</w:t>
      </w:r>
    </w:p>
    <w:p>
      <w:pPr>
        <w:spacing w:after="0" w:before="0"/>
      </w:pPr>
      <w:r>
        <w:rPr>
          <w:b w:val="0"/>
          <w:sz w:val="22"/>
        </w:rPr>
        <w:t>(d) Adding chemicals like bleach to the water</w:t>
      </w:r>
    </w:p>
    <w:p>
      <w:pPr>
        <w:spacing w:after="0" w:before="40"/>
      </w:pPr>
      <w:r>
        <w:rPr>
          <w:b/>
          <w:sz w:val="22"/>
        </w:rPr>
        <w:t>Answer: a</w:t>
      </w:r>
    </w:p>
    <w:p>
      <w:pPr>
        <w:spacing w:after="0" w:before="0"/>
      </w:pPr>
      <w:r>
        <w:rPr>
          <w:b w:val="0"/>
          <w:sz w:val="21"/>
        </w:rPr>
        <w:t>Solution: Gambusia (larvivorous fish) is an effective biological method to destroy mosquito larvae in water.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presented to the psychiatry OPD with his relatives and complained of knee pain, stating that it was due to aliens interfering with his thoughts and controlling him. Which would be the possible diagnosis according to DSM-5 criteria?</w:t>
      </w:r>
    </w:p>
    <w:p>
      <w:pPr>
        <w:spacing w:after="0" w:before="0"/>
      </w:pPr>
      <w:r>
        <w:rPr>
          <w:b w:val="0"/>
          <w:sz w:val="22"/>
        </w:rPr>
        <w:t>(a) Somatic delusion</w:t>
      </w:r>
    </w:p>
    <w:p>
      <w:pPr>
        <w:spacing w:after="0" w:before="0"/>
      </w:pPr>
      <w:r>
        <w:rPr>
          <w:b w:val="0"/>
          <w:sz w:val="22"/>
        </w:rPr>
        <w:t>(b) Delusion of grandiosity</w:t>
      </w:r>
    </w:p>
    <w:p>
      <w:pPr>
        <w:spacing w:after="0" w:before="0"/>
      </w:pPr>
      <w:r>
        <w:rPr>
          <w:b w:val="0"/>
          <w:sz w:val="22"/>
        </w:rPr>
        <w:t>(c) Delusion of persuasion</w:t>
      </w:r>
    </w:p>
    <w:p>
      <w:pPr>
        <w:spacing w:after="0" w:before="0"/>
      </w:pPr>
      <w:r>
        <w:rPr>
          <w:b w:val="0"/>
          <w:sz w:val="22"/>
        </w:rPr>
        <w:t>(d) Delusion of control</w:t>
      </w:r>
    </w:p>
    <w:p>
      <w:pPr>
        <w:spacing w:after="0" w:before="40"/>
      </w:pPr>
      <w:r>
        <w:rPr>
          <w:b/>
          <w:sz w:val="22"/>
        </w:rPr>
        <w:t>Answer: d</w:t>
      </w:r>
    </w:p>
    <w:p>
      <w:pPr>
        <w:spacing w:after="0" w:before="0"/>
      </w:pPr>
      <w:r>
        <w:rPr>
          <w:b w:val="0"/>
          <w:sz w:val="21"/>
        </w:rPr>
        <w:t>Solution: The possible diagnosis for the patient's presentation is delusion of control, according to DSM-5 criteria. Delusion of control is a subtype of delusional disorder in which the individual has a false belief that external forces are controlling their thoughts or actions. This belief is not due to the effects of a substance or a medical condition and cannot be explained by another mental disorder. The delusions cause significant distress or impairment in social, occupational, or other important areas of functioning.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on heparin therapy should be monitored with which laboratory test?</w:t>
      </w:r>
    </w:p>
    <w:p>
      <w:pPr>
        <w:spacing w:after="0" w:before="0"/>
      </w:pPr>
      <w:r>
        <w:rPr>
          <w:b w:val="0"/>
          <w:sz w:val="22"/>
        </w:rPr>
        <w:t>(a) Serum creatinine</w:t>
      </w:r>
    </w:p>
    <w:p>
      <w:pPr>
        <w:spacing w:after="0" w:before="0"/>
      </w:pPr>
      <w:r>
        <w:rPr>
          <w:b w:val="0"/>
          <w:sz w:val="22"/>
        </w:rPr>
        <w:t>(b) Bleeding time</w:t>
      </w:r>
    </w:p>
    <w:p>
      <w:pPr>
        <w:spacing w:after="0" w:before="0"/>
      </w:pPr>
      <w:r>
        <w:rPr>
          <w:b w:val="0"/>
          <w:sz w:val="22"/>
        </w:rPr>
        <w:t>(c) PT/INR</w:t>
      </w:r>
    </w:p>
    <w:p>
      <w:pPr>
        <w:spacing w:after="0" w:before="0"/>
      </w:pPr>
      <w:r>
        <w:rPr>
          <w:b w:val="0"/>
          <w:sz w:val="22"/>
        </w:rPr>
        <w:t>(d) aPTT</w:t>
      </w:r>
    </w:p>
    <w:p>
      <w:pPr>
        <w:spacing w:after="0" w:before="40"/>
      </w:pPr>
      <w:r>
        <w:rPr>
          <w:b/>
          <w:sz w:val="22"/>
        </w:rPr>
        <w:t>Answer: d</w:t>
      </w:r>
    </w:p>
    <w:p>
      <w:pPr>
        <w:spacing w:after="0" w:before="0"/>
      </w:pPr>
      <w:r>
        <w:rPr>
          <w:b w:val="0"/>
          <w:sz w:val="21"/>
        </w:rPr>
        <w:t>Solution: Heparin is monitored by activated partial thromboplastin time (aPTT), while warfarin is monitored by PT/INR.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of of this is seen in anorexia nervosa except</w:t>
      </w:r>
    </w:p>
    <w:p>
      <w:pPr>
        <w:spacing w:after="0" w:before="0"/>
      </w:pPr>
      <w:r>
        <w:rPr>
          <w:b w:val="0"/>
          <w:sz w:val="22"/>
        </w:rPr>
        <w:t>(a) Electrolyte imbalance</w:t>
      </w:r>
    </w:p>
    <w:p>
      <w:pPr>
        <w:spacing w:after="0" w:before="0"/>
      </w:pPr>
      <w:r>
        <w:rPr>
          <w:b w:val="0"/>
          <w:sz w:val="22"/>
        </w:rPr>
        <w:t>(b) Menorrhagia</w:t>
      </w:r>
    </w:p>
    <w:p>
      <w:pPr>
        <w:spacing w:after="0" w:before="0"/>
      </w:pPr>
      <w:r>
        <w:rPr>
          <w:b w:val="0"/>
          <w:sz w:val="22"/>
        </w:rPr>
        <w:t>(c) Osteoporosis</w:t>
      </w:r>
    </w:p>
    <w:p>
      <w:pPr>
        <w:spacing w:after="0" w:before="0"/>
      </w:pPr>
      <w:r>
        <w:rPr>
          <w:b w:val="0"/>
          <w:sz w:val="22"/>
        </w:rPr>
        <w:t>(d) Myocardial hypertrophy</w:t>
      </w:r>
    </w:p>
    <w:p>
      <w:pPr>
        <w:spacing w:after="0" w:before="40"/>
      </w:pPr>
      <w:r>
        <w:rPr>
          <w:b/>
          <w:sz w:val="22"/>
        </w:rPr>
        <w:t>Answer: b</w:t>
      </w:r>
    </w:p>
    <w:p>
      <w:pPr>
        <w:spacing w:after="0" w:before="0"/>
      </w:pPr>
      <w:r>
        <w:rPr>
          <w:b w:val="0"/>
          <w:sz w:val="21"/>
        </w:rPr>
        <w:t>Solution: Anorexia nervosa causes osteoporosis, electrolyte imbalance and amenorrhoea (not menorrhagia); menstruation is usually scanty or absent.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normal range of body temperature by axillary route is:</w:t>
      </w:r>
    </w:p>
    <w:p>
      <w:pPr>
        <w:spacing w:after="0" w:before="0"/>
      </w:pPr>
      <w:r>
        <w:rPr>
          <w:b w:val="0"/>
          <w:sz w:val="22"/>
        </w:rPr>
        <w:t>(a) 36.5-37.5°C</w:t>
      </w:r>
    </w:p>
    <w:p>
      <w:pPr>
        <w:spacing w:after="0" w:before="0"/>
      </w:pPr>
      <w:r>
        <w:rPr>
          <w:b w:val="0"/>
          <w:sz w:val="22"/>
        </w:rPr>
        <w:t>(b) 35.0-36.0°C</w:t>
      </w:r>
    </w:p>
    <w:p>
      <w:pPr>
        <w:spacing w:after="0" w:before="0"/>
      </w:pPr>
      <w:r>
        <w:rPr>
          <w:b w:val="0"/>
          <w:sz w:val="22"/>
        </w:rPr>
        <w:t>(c) 34.0-35.0°C</w:t>
      </w:r>
    </w:p>
    <w:p>
      <w:pPr>
        <w:spacing w:after="0" w:before="0"/>
      </w:pPr>
      <w:r>
        <w:rPr>
          <w:b w:val="0"/>
          <w:sz w:val="22"/>
        </w:rPr>
        <w:t>(d) 37.5-38.5°C</w:t>
      </w:r>
    </w:p>
    <w:p>
      <w:pPr>
        <w:spacing w:after="0" w:before="40"/>
      </w:pPr>
      <w:r>
        <w:rPr>
          <w:b/>
          <w:sz w:val="22"/>
        </w:rPr>
        <w:t>Answer: a</w:t>
      </w:r>
    </w:p>
    <w:p>
      <w:pPr>
        <w:spacing w:after="0" w:before="0"/>
      </w:pPr>
      <w:r>
        <w:rPr>
          <w:b w:val="0"/>
          <w:sz w:val="21"/>
        </w:rPr>
        <w:t>Solution: Axillary temperature is normally 36.5-37.5°C (about 0.5°C lower than oral/rectal).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leading cause of child mortality worldwide?</w:t>
      </w:r>
    </w:p>
    <w:p>
      <w:pPr>
        <w:spacing w:after="0" w:before="0"/>
      </w:pPr>
      <w:r>
        <w:rPr>
          <w:b w:val="0"/>
          <w:sz w:val="22"/>
        </w:rPr>
        <w:t>(a) Malaria</w:t>
      </w:r>
    </w:p>
    <w:p>
      <w:pPr>
        <w:spacing w:after="0" w:before="0"/>
      </w:pPr>
      <w:r>
        <w:rPr>
          <w:b w:val="0"/>
          <w:sz w:val="22"/>
        </w:rPr>
        <w:t>(b) Diarrhoea</w:t>
      </w:r>
    </w:p>
    <w:p>
      <w:pPr>
        <w:spacing w:after="0" w:before="0"/>
      </w:pPr>
      <w:r>
        <w:rPr>
          <w:b w:val="0"/>
          <w:sz w:val="22"/>
        </w:rPr>
        <w:t>(c) Obstetrical haemorrhage</w:t>
      </w:r>
    </w:p>
    <w:p>
      <w:pPr>
        <w:spacing w:after="0" w:before="0"/>
      </w:pPr>
      <w:r>
        <w:rPr>
          <w:b w:val="0"/>
          <w:sz w:val="22"/>
        </w:rPr>
        <w:t>(d) Pneumonia</w:t>
      </w:r>
    </w:p>
    <w:p>
      <w:pPr>
        <w:spacing w:after="0" w:before="40"/>
      </w:pPr>
      <w:r>
        <w:rPr>
          <w:b/>
          <w:sz w:val="22"/>
        </w:rPr>
        <w:t>Answer: d</w:t>
      </w:r>
    </w:p>
    <w:p>
      <w:pPr>
        <w:spacing w:after="0" w:before="0"/>
      </w:pPr>
      <w:r>
        <w:rPr>
          <w:b w:val="0"/>
          <w:sz w:val="21"/>
        </w:rPr>
        <w:t>Solution: Pneumonia is the leading cause of child mortality worldwide. According to the World Health Organization (WHO), pneumonia accounts for approximately 15% of all deaths in children under five years of age globally. Other leading causes of child mortality include diarrhea, malaria, and obstetrical hemorrhage.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caring for a HIV positive patient got an accidental needle stick injury. Which of the following Is an appropriate immediate action following needle stick injury?</w:t>
      </w:r>
    </w:p>
    <w:p>
      <w:pPr>
        <w:spacing w:after="0" w:before="0"/>
      </w:pPr>
      <w:r>
        <w:rPr>
          <w:b w:val="0"/>
          <w:sz w:val="22"/>
        </w:rPr>
        <w:t>(a) Use bleach or alcohol to clean the wound</w:t>
      </w:r>
    </w:p>
    <w:p>
      <w:pPr>
        <w:spacing w:after="0" w:before="0"/>
      </w:pPr>
      <w:r>
        <w:rPr>
          <w:b w:val="0"/>
          <w:sz w:val="22"/>
        </w:rPr>
        <w:t>(b) Squeeze the wound to bleed it</w:t>
      </w:r>
    </w:p>
    <w:p>
      <w:pPr>
        <w:spacing w:after="0" w:before="0"/>
      </w:pPr>
      <w:r>
        <w:rPr>
          <w:b w:val="0"/>
          <w:sz w:val="22"/>
        </w:rPr>
        <w:t>(c) Put the pricked finger in mouth</w:t>
      </w:r>
    </w:p>
    <w:p>
      <w:pPr>
        <w:spacing w:after="0" w:before="0"/>
      </w:pPr>
      <w:r>
        <w:rPr>
          <w:b w:val="0"/>
          <w:sz w:val="22"/>
        </w:rPr>
        <w:t>(d) Wash the wound and surrounding skin with soap and rinse</w:t>
      </w:r>
    </w:p>
    <w:p>
      <w:pPr>
        <w:spacing w:after="0" w:before="40"/>
      </w:pPr>
      <w:r>
        <w:rPr>
          <w:b/>
          <w:sz w:val="22"/>
        </w:rPr>
        <w:t>Answer: d</w:t>
      </w:r>
    </w:p>
    <w:p>
      <w:pPr>
        <w:spacing w:after="0" w:before="0"/>
      </w:pPr>
      <w:r>
        <w:rPr>
          <w:b w:val="0"/>
          <w:sz w:val="21"/>
        </w:rPr>
        <w:t>Solution: If is experienced the site should be washed with soap and water immediately, report the incident to supervisor, assess the exposure (type of fluid, type of needle, amount of blood on the needle, etc.), evaluate the status of patient and immediately seek the treatment according to protocol.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Where is the global headquarters of the World Health Organization (WHO) situated?</w:t>
      </w:r>
    </w:p>
    <w:p>
      <w:pPr>
        <w:spacing w:after="0" w:before="0"/>
      </w:pPr>
      <w:r>
        <w:rPr>
          <w:b w:val="0"/>
          <w:sz w:val="22"/>
        </w:rPr>
        <w:t>(a) Rome, Italy</w:t>
      </w:r>
    </w:p>
    <w:p>
      <w:pPr>
        <w:spacing w:after="0" w:before="0"/>
      </w:pPr>
      <w:r>
        <w:rPr>
          <w:b w:val="0"/>
          <w:sz w:val="22"/>
        </w:rPr>
        <w:t>(b) Geneva, Switzerland</w:t>
      </w:r>
    </w:p>
    <w:p>
      <w:pPr>
        <w:spacing w:after="0" w:before="0"/>
      </w:pPr>
      <w:r>
        <w:rPr>
          <w:b w:val="0"/>
          <w:sz w:val="22"/>
        </w:rPr>
        <w:t>(c) Paris, France</w:t>
      </w:r>
    </w:p>
    <w:p>
      <w:pPr>
        <w:spacing w:after="0" w:before="0"/>
      </w:pPr>
      <w:r>
        <w:rPr>
          <w:b w:val="0"/>
          <w:sz w:val="22"/>
        </w:rPr>
        <w:t>(d) Washington D.C., USA</w:t>
      </w:r>
    </w:p>
    <w:p>
      <w:pPr>
        <w:spacing w:after="0" w:before="40"/>
      </w:pPr>
      <w:r>
        <w:rPr>
          <w:b/>
          <w:sz w:val="22"/>
        </w:rPr>
        <w:t>Answer: b</w:t>
      </w:r>
    </w:p>
    <w:p>
      <w:pPr>
        <w:spacing w:after="0" w:before="0"/>
      </w:pPr>
      <w:r>
        <w:rPr>
          <w:b w:val="0"/>
          <w:sz w:val="21"/>
        </w:rPr>
        <w:t>Solution: The World Health Organization (WHO) was founded in 1948 and its global headquarters is located in Geneva, Switzerland.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acronym 'ASHA' (community health worker program in India), what does 'A' stand for?</w:t>
      </w:r>
    </w:p>
    <w:p>
      <w:pPr>
        <w:spacing w:after="0" w:before="0"/>
      </w:pPr>
      <w:r>
        <w:rPr>
          <w:b w:val="0"/>
          <w:sz w:val="22"/>
        </w:rPr>
        <w:t>(a) Accredited</w:t>
      </w:r>
    </w:p>
    <w:p>
      <w:pPr>
        <w:spacing w:after="0" w:before="0"/>
      </w:pPr>
      <w:r>
        <w:rPr>
          <w:b w:val="0"/>
          <w:sz w:val="22"/>
        </w:rPr>
        <w:t>(b) Actor</w:t>
      </w:r>
    </w:p>
    <w:p>
      <w:pPr>
        <w:spacing w:after="0" w:before="0"/>
      </w:pPr>
      <w:r>
        <w:rPr>
          <w:b w:val="0"/>
          <w:sz w:val="22"/>
        </w:rPr>
        <w:t>(c) Accessory</w:t>
      </w:r>
    </w:p>
    <w:p>
      <w:pPr>
        <w:spacing w:after="0" w:before="0"/>
      </w:pPr>
      <w:r>
        <w:rPr>
          <w:b w:val="0"/>
          <w:sz w:val="22"/>
        </w:rPr>
        <w:t>(d) Automated</w:t>
      </w:r>
    </w:p>
    <w:p>
      <w:pPr>
        <w:spacing w:after="0" w:before="40"/>
      </w:pPr>
      <w:r>
        <w:rPr>
          <w:b/>
          <w:sz w:val="22"/>
        </w:rPr>
        <w:t>Answer: a</w:t>
      </w:r>
    </w:p>
    <w:p>
      <w:pPr>
        <w:spacing w:after="0" w:before="0"/>
      </w:pPr>
      <w:r>
        <w:rPr>
          <w:b w:val="0"/>
          <w:sz w:val="21"/>
        </w:rPr>
        <w:t>Solution: ASHA stands for 'Accredited Social Health Activist', instituted under the National Rural Health Mission (NRHM).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Vaccine that can be freeze and still it does not lose its potency</w:t>
      </w:r>
    </w:p>
    <w:p>
      <w:pPr>
        <w:spacing w:after="0" w:before="0"/>
      </w:pPr>
      <w:r>
        <w:rPr>
          <w:b w:val="0"/>
          <w:sz w:val="22"/>
        </w:rPr>
        <w:t>(a) MMR</w:t>
      </w:r>
    </w:p>
    <w:p>
      <w:pPr>
        <w:spacing w:after="0" w:before="0"/>
      </w:pPr>
      <w:r>
        <w:rPr>
          <w:b w:val="0"/>
          <w:sz w:val="22"/>
        </w:rPr>
        <w:t>(b) OPV</w:t>
      </w:r>
    </w:p>
    <w:p>
      <w:pPr>
        <w:spacing w:after="0" w:before="0"/>
      </w:pPr>
      <w:r>
        <w:rPr>
          <w:b w:val="0"/>
          <w:sz w:val="22"/>
        </w:rPr>
        <w:t>(c) TT</w:t>
      </w:r>
    </w:p>
    <w:p>
      <w:pPr>
        <w:spacing w:after="0" w:before="0"/>
      </w:pPr>
      <w:r>
        <w:rPr>
          <w:b w:val="0"/>
          <w:sz w:val="22"/>
        </w:rPr>
        <w:t>(d) DPT</w:t>
      </w:r>
    </w:p>
    <w:p>
      <w:pPr>
        <w:spacing w:after="0" w:before="40"/>
      </w:pPr>
      <w:r>
        <w:rPr>
          <w:b/>
          <w:sz w:val="22"/>
        </w:rPr>
        <w:t>Answer: a</w:t>
      </w:r>
    </w:p>
    <w:p>
      <w:pPr>
        <w:spacing w:after="0" w:before="0"/>
      </w:pPr>
      <w:r>
        <w:rPr>
          <w:b w:val="0"/>
          <w:sz w:val="21"/>
        </w:rPr>
        <w:t>Solution: MMR is a freeze-dried vaccine that can be frozen without losing potency.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Intermittent positive pressure breathing is contraindicated in:</w:t>
      </w:r>
    </w:p>
    <w:p>
      <w:pPr>
        <w:spacing w:after="0" w:before="0"/>
      </w:pPr>
      <w:r>
        <w:rPr>
          <w:b w:val="0"/>
          <w:sz w:val="22"/>
        </w:rPr>
        <w:t>(a) Comatose patient</w:t>
      </w:r>
    </w:p>
    <w:p>
      <w:pPr>
        <w:spacing w:after="0" w:before="0"/>
      </w:pPr>
      <w:r>
        <w:rPr>
          <w:b w:val="0"/>
          <w:sz w:val="22"/>
        </w:rPr>
        <w:t>(b) Tracheoesophageal fistula</w:t>
      </w:r>
    </w:p>
    <w:p>
      <w:pPr>
        <w:spacing w:after="0" w:before="0"/>
      </w:pPr>
      <w:r>
        <w:rPr>
          <w:b w:val="0"/>
          <w:sz w:val="22"/>
        </w:rPr>
        <w:t>(c) Pulmonary edema</w:t>
      </w:r>
    </w:p>
    <w:p>
      <w:pPr>
        <w:spacing w:after="0" w:before="0"/>
      </w:pPr>
      <w:r>
        <w:rPr>
          <w:b w:val="0"/>
          <w:sz w:val="22"/>
        </w:rPr>
        <w:t>(d) Asthma</w:t>
      </w:r>
    </w:p>
    <w:p>
      <w:pPr>
        <w:spacing w:after="0" w:before="40"/>
      </w:pPr>
      <w:r>
        <w:rPr>
          <w:b/>
          <w:sz w:val="22"/>
        </w:rPr>
        <w:t>Answer: b</w:t>
      </w:r>
    </w:p>
    <w:p>
      <w:pPr>
        <w:spacing w:after="0" w:before="0"/>
      </w:pPr>
      <w:r>
        <w:rPr>
          <w:b w:val="0"/>
          <w:sz w:val="21"/>
        </w:rPr>
        <w:t>Solution: IPPB is contraindicated in tracheo-oesophageal fistula (air leaks through the fistula instead of ventilating the lungs).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relation between the fetal presenting part and meternal pelvis is known as?</w:t>
      </w:r>
    </w:p>
    <w:p>
      <w:pPr>
        <w:spacing w:after="0" w:before="0"/>
      </w:pPr>
      <w:r>
        <w:rPr>
          <w:b w:val="0"/>
          <w:sz w:val="22"/>
        </w:rPr>
        <w:t>(a) Lie</w:t>
      </w:r>
    </w:p>
    <w:p>
      <w:pPr>
        <w:spacing w:after="0" w:before="0"/>
      </w:pPr>
      <w:r>
        <w:rPr>
          <w:b w:val="0"/>
          <w:sz w:val="22"/>
        </w:rPr>
        <w:t>(b) Station</w:t>
      </w:r>
    </w:p>
    <w:p>
      <w:pPr>
        <w:spacing w:after="0" w:before="0"/>
      </w:pPr>
      <w:r>
        <w:rPr>
          <w:b w:val="0"/>
          <w:sz w:val="22"/>
        </w:rPr>
        <w:t>(c) Position</w:t>
      </w:r>
    </w:p>
    <w:p>
      <w:pPr>
        <w:spacing w:after="0" w:before="0"/>
      </w:pPr>
      <w:r>
        <w:rPr>
          <w:b w:val="0"/>
          <w:sz w:val="22"/>
        </w:rPr>
        <w:t>(d) Attitude</w:t>
      </w:r>
    </w:p>
    <w:p>
      <w:pPr>
        <w:spacing w:after="0" w:before="40"/>
      </w:pPr>
      <w:r>
        <w:rPr>
          <w:b/>
          <w:sz w:val="22"/>
        </w:rPr>
        <w:t>Answer: c</w:t>
      </w:r>
    </w:p>
    <w:p>
      <w:pPr>
        <w:spacing w:after="0" w:before="0"/>
      </w:pPr>
      <w:r>
        <w:rPr>
          <w:b w:val="0"/>
          <w:sz w:val="21"/>
        </w:rPr>
        <w:t>Solution: Position is the relationship of the fetal presenting part (reference point such as occiput) to the right or left side of the maternal pelvis.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