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of the following is an absolute contraindication for liver biopsy in children? Live Biopsy in children</w:t>
      </w:r>
    </w:p>
    <w:p>
      <w:pPr>
        <w:spacing w:after="0" w:before="0"/>
      </w:pPr>
      <w:r>
        <w:rPr>
          <w:b w:val="0"/>
          <w:sz w:val="22"/>
        </w:rPr>
        <w:t>(a) Coagulopathy</w:t>
      </w:r>
    </w:p>
    <w:p>
      <w:pPr>
        <w:spacing w:after="0" w:before="0"/>
      </w:pPr>
      <w:r>
        <w:rPr>
          <w:b w:val="0"/>
          <w:sz w:val="22"/>
        </w:rPr>
        <w:t>(b) Tumour in liver</w:t>
      </w:r>
    </w:p>
    <w:p>
      <w:pPr>
        <w:spacing w:after="0" w:before="0"/>
      </w:pPr>
      <w:r>
        <w:rPr>
          <w:b w:val="0"/>
          <w:sz w:val="22"/>
        </w:rPr>
        <w:t>(c) Pneumothorax</w:t>
      </w:r>
    </w:p>
    <w:p>
      <w:pPr>
        <w:spacing w:after="0" w:before="0"/>
      </w:pPr>
      <w:r>
        <w:rPr>
          <w:b w:val="0"/>
          <w:sz w:val="22"/>
        </w:rPr>
        <w:t>(d) Bleeding</w:t>
      </w:r>
    </w:p>
    <w:p>
      <w:pPr>
        <w:spacing w:after="0" w:before="40"/>
      </w:pPr>
      <w:r>
        <w:rPr>
          <w:b/>
          <w:sz w:val="22"/>
        </w:rPr>
        <w:t>Answer: a</w:t>
      </w:r>
    </w:p>
    <w:p>
      <w:pPr>
        <w:spacing w:after="0" w:before="0"/>
      </w:pPr>
      <w:r>
        <w:rPr>
          <w:b w:val="0"/>
          <w:sz w:val="21"/>
        </w:rPr>
        <w:t>Solution: Liver biopsy is a relatively safe procedure, but certain conditions may increase the risk of complications. Absolute contraindications for liver biopsy in children include severe coagulopathy, uncontrolled bleeding disorders, and suspected malignant lesions with a high risk of needle tract seeding. Before performing the procedure, it is essential to evaluate the patient's medical history, coagulation profile, and imaging findings to determine the risk-benefit ratio.</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is having hyperventilation and CO2 level is below normal range. Priority nursing management in this patient is?</w:t>
      </w:r>
    </w:p>
    <w:p>
      <w:pPr>
        <w:spacing w:after="0" w:before="0"/>
      </w:pPr>
      <w:r>
        <w:rPr>
          <w:b w:val="0"/>
          <w:sz w:val="22"/>
        </w:rPr>
        <w:t>(a) Give O2 directly</w:t>
      </w:r>
    </w:p>
    <w:p>
      <w:pPr>
        <w:spacing w:after="0" w:before="0"/>
      </w:pPr>
      <w:r>
        <w:rPr>
          <w:b w:val="0"/>
          <w:sz w:val="22"/>
        </w:rPr>
        <w:t>(b) Inform the doctor</w:t>
      </w:r>
    </w:p>
    <w:p>
      <w:pPr>
        <w:spacing w:after="0" w:before="0"/>
      </w:pPr>
      <w:r>
        <w:rPr>
          <w:b w:val="0"/>
          <w:sz w:val="22"/>
        </w:rPr>
        <w:t>(c) Paper bag breath</w:t>
      </w:r>
    </w:p>
    <w:p>
      <w:pPr>
        <w:spacing w:after="0" w:before="0"/>
      </w:pPr>
      <w:r>
        <w:rPr>
          <w:b w:val="0"/>
          <w:sz w:val="22"/>
        </w:rPr>
        <w:t>(d) Give sedative</w:t>
      </w:r>
    </w:p>
    <w:p>
      <w:pPr>
        <w:spacing w:after="0" w:before="40"/>
      </w:pPr>
      <w:r>
        <w:rPr>
          <w:b/>
          <w:sz w:val="22"/>
        </w:rPr>
        <w:t>Answer: c</w:t>
      </w:r>
    </w:p>
    <w:p>
      <w:pPr>
        <w:spacing w:after="0" w:before="0"/>
      </w:pPr>
      <w:r>
        <w:rPr>
          <w:b w:val="0"/>
          <w:sz w:val="21"/>
        </w:rPr>
        <w:t>Solution: In hyperventilation with low CO2, priority management is rebreathing into a paper bag to raise CO2 levels.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symptom of Hyponatremia is:</w:t>
      </w:r>
    </w:p>
    <w:p>
      <w:pPr>
        <w:spacing w:after="0" w:before="0"/>
      </w:pPr>
      <w:r>
        <w:rPr>
          <w:b w:val="0"/>
          <w:sz w:val="22"/>
        </w:rPr>
        <w:t>(a) Fatigue</w:t>
      </w:r>
    </w:p>
    <w:p>
      <w:pPr>
        <w:spacing w:after="0" w:before="0"/>
      </w:pPr>
      <w:r>
        <w:rPr>
          <w:b w:val="0"/>
          <w:sz w:val="22"/>
        </w:rPr>
        <w:t>(b) Weakness</w:t>
      </w:r>
    </w:p>
    <w:p>
      <w:pPr>
        <w:spacing w:after="0" w:before="0"/>
      </w:pPr>
      <w:r>
        <w:rPr>
          <w:b w:val="0"/>
          <w:sz w:val="22"/>
        </w:rPr>
        <w:t>(c) Thirst</w:t>
      </w:r>
    </w:p>
    <w:p>
      <w:pPr>
        <w:spacing w:after="0" w:before="0"/>
      </w:pPr>
      <w:r>
        <w:rPr>
          <w:b w:val="0"/>
          <w:sz w:val="22"/>
        </w:rPr>
        <w:t>(d) Ataxia</w:t>
      </w:r>
    </w:p>
    <w:p>
      <w:pPr>
        <w:spacing w:after="0" w:before="40"/>
      </w:pPr>
      <w:r>
        <w:rPr>
          <w:b/>
          <w:sz w:val="22"/>
        </w:rPr>
        <w:t>Answer: a</w:t>
      </w:r>
    </w:p>
    <w:p>
      <w:pPr>
        <w:spacing w:after="0" w:before="0"/>
      </w:pPr>
      <w:r>
        <w:rPr>
          <w:b w:val="0"/>
          <w:sz w:val="21"/>
        </w:rPr>
        <w:t>Solution: Fatigue is the earliest symptom of hyponatremia (mild sodium depletion).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is caring for a client 2 hours after an ischemic stroke. Which assessment finding indicates increased intracranial pressure and needs IMMEDIATE action?</w:t>
      </w:r>
    </w:p>
    <w:p>
      <w:pPr>
        <w:spacing w:after="0" w:before="0"/>
      </w:pPr>
      <w:r>
        <w:rPr>
          <w:b w:val="0"/>
          <w:sz w:val="22"/>
        </w:rPr>
        <w:t>(a) Pupils unequal and sluggish to react</w:t>
      </w:r>
    </w:p>
    <w:p>
      <w:pPr>
        <w:spacing w:after="0" w:before="0"/>
      </w:pPr>
      <w:r>
        <w:rPr>
          <w:b w:val="0"/>
          <w:sz w:val="22"/>
        </w:rPr>
        <w:t>(b) Mild expressive aphasia</w:t>
      </w:r>
    </w:p>
    <w:p>
      <w:pPr>
        <w:spacing w:after="0" w:before="0"/>
      </w:pPr>
      <w:r>
        <w:rPr>
          <w:b w:val="0"/>
          <w:sz w:val="22"/>
        </w:rPr>
        <w:t>(c) Right-sided hemiparesis</w:t>
      </w:r>
    </w:p>
    <w:p>
      <w:pPr>
        <w:spacing w:after="0" w:before="0"/>
      </w:pPr>
      <w:r>
        <w:rPr>
          <w:b w:val="0"/>
          <w:sz w:val="22"/>
        </w:rPr>
        <w:t>(d) Blood pressure 150/90 mm Hg</w:t>
      </w:r>
    </w:p>
    <w:p>
      <w:pPr>
        <w:spacing w:after="0" w:before="40"/>
      </w:pPr>
      <w:r>
        <w:rPr>
          <w:b/>
          <w:sz w:val="22"/>
        </w:rPr>
        <w:t>Answer: a</w:t>
      </w:r>
    </w:p>
    <w:p>
      <w:pPr>
        <w:spacing w:after="0" w:before="0"/>
      </w:pPr>
      <w:r>
        <w:rPr>
          <w:b w:val="0"/>
          <w:sz w:val="21"/>
        </w:rPr>
        <w:t>Solution: Unequal, sluggish pupils are a late and ominous sign of rising intracranial pressure (uncal herniation); the other options are expected stroke deficits.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Surgical complications that result from foreign matirial such as surgical sponge or gauze piece accidentally left in patient's body is known as:</w:t>
      </w:r>
    </w:p>
    <w:p>
      <w:pPr>
        <w:spacing w:after="0" w:before="0"/>
      </w:pPr>
      <w:r>
        <w:rPr>
          <w:b w:val="0"/>
          <w:sz w:val="22"/>
        </w:rPr>
        <w:t>(a) Gossypiboma</w:t>
      </w:r>
    </w:p>
    <w:p>
      <w:pPr>
        <w:spacing w:after="0" w:before="0"/>
      </w:pPr>
      <w:r>
        <w:rPr>
          <w:b w:val="0"/>
          <w:sz w:val="22"/>
        </w:rPr>
        <w:t>(b) Gossypium hirsulum</w:t>
      </w:r>
    </w:p>
    <w:p>
      <w:pPr>
        <w:spacing w:after="0" w:before="0"/>
      </w:pPr>
      <w:r>
        <w:rPr>
          <w:b w:val="0"/>
          <w:sz w:val="22"/>
        </w:rPr>
        <w:t>(c) Idiopathic necrosis</w:t>
      </w:r>
    </w:p>
    <w:p>
      <w:pPr>
        <w:spacing w:after="0" w:before="0"/>
      </w:pPr>
      <w:r>
        <w:rPr>
          <w:b w:val="0"/>
          <w:sz w:val="22"/>
        </w:rPr>
        <w:t>(d) Surgical hemostatic syndrome</w:t>
      </w:r>
    </w:p>
    <w:p>
      <w:pPr>
        <w:spacing w:after="0" w:before="40"/>
      </w:pPr>
      <w:r>
        <w:rPr>
          <w:b/>
          <w:sz w:val="22"/>
        </w:rPr>
        <w:t>Answer: a</w:t>
      </w:r>
    </w:p>
    <w:p>
      <w:pPr>
        <w:spacing w:after="0" w:before="0"/>
      </w:pPr>
      <w:r>
        <w:rPr>
          <w:b w:val="0"/>
          <w:sz w:val="21"/>
        </w:rPr>
        <w:t>Solution: Surgical complications that result from foreign material such as a surgical sponge or gauze piece accidentally left in a patient's body is known as a gossypiboma. A gossypiboma is a rare but serious surgical error that can lead to various complications including infection, abscess formation, granuloma formation, and even organ damage. It occurs when surgical materials are unintentionally retained inside the patient during a surgical procedure. Prompt identification and removal of the foreign object is crucial to prevent further complications. Patients may present with symptoms such as pain, inflammation, fever, and discharge from the surgical site. Imaging studies like X-rays or CT scans are often used to diagnose the presence of a gossypiboma. Surgical intervention is usually required to remove the retained object and manage any associated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with severe dehydration is receiving IV fluids. Which finding indicates that rehydration is effective?</w:t>
      </w:r>
    </w:p>
    <w:p>
      <w:pPr>
        <w:spacing w:after="0" w:before="0"/>
      </w:pPr>
      <w:r>
        <w:rPr>
          <w:b w:val="0"/>
          <w:sz w:val="22"/>
        </w:rPr>
        <w:t>(a) Sunken eyes persist</w:t>
      </w:r>
    </w:p>
    <w:p>
      <w:pPr>
        <w:spacing w:after="0" w:before="0"/>
      </w:pPr>
      <w:r>
        <w:rPr>
          <w:b w:val="0"/>
          <w:sz w:val="22"/>
        </w:rPr>
        <w:t>(b) Skin turgor remains poor</w:t>
      </w:r>
    </w:p>
    <w:p>
      <w:pPr>
        <w:spacing w:after="0" w:before="0"/>
      </w:pPr>
      <w:r>
        <w:rPr>
          <w:b w:val="0"/>
          <w:sz w:val="22"/>
        </w:rPr>
        <w:t>(c) Capillary refill of 5 seconds</w:t>
      </w:r>
    </w:p>
    <w:p>
      <w:pPr>
        <w:spacing w:after="0" w:before="0"/>
      </w:pPr>
      <w:r>
        <w:rPr>
          <w:b w:val="0"/>
          <w:sz w:val="22"/>
        </w:rPr>
        <w:t>(d) Urine output of 2 mL/kg/hour</w:t>
      </w:r>
    </w:p>
    <w:p>
      <w:pPr>
        <w:spacing w:after="0" w:before="40"/>
      </w:pPr>
      <w:r>
        <w:rPr>
          <w:b/>
          <w:sz w:val="22"/>
        </w:rPr>
        <w:t>Answer: d</w:t>
      </w:r>
    </w:p>
    <w:p>
      <w:pPr>
        <w:spacing w:after="0" w:before="0"/>
      </w:pPr>
      <w:r>
        <w:rPr>
          <w:b w:val="0"/>
          <w:sz w:val="21"/>
        </w:rPr>
        <w:t>Solution: Adequate urine output (≥1-2 mL/kg/hr) is the most reliable indicator of restored perfusion; the other findings show continued dehydration.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hypocalcemia is:</w:t>
      </w:r>
    </w:p>
    <w:p>
      <w:pPr>
        <w:spacing w:after="0" w:before="0"/>
      </w:pPr>
      <w:r>
        <w:rPr>
          <w:b w:val="0"/>
          <w:sz w:val="22"/>
        </w:rPr>
        <w:t>(a) Twitching</w:t>
      </w:r>
    </w:p>
    <w:p>
      <w:pPr>
        <w:spacing w:after="0" w:before="0"/>
      </w:pPr>
      <w:r>
        <w:rPr>
          <w:b w:val="0"/>
          <w:sz w:val="22"/>
        </w:rPr>
        <w:t>(b) Negative Chvostek's sign</w:t>
      </w:r>
    </w:p>
    <w:p>
      <w:pPr>
        <w:spacing w:after="0" w:before="0"/>
      </w:pPr>
      <w:r>
        <w:rPr>
          <w:b w:val="0"/>
          <w:sz w:val="22"/>
        </w:rPr>
        <w:t>(c) Weakness</w:t>
      </w:r>
    </w:p>
    <w:p>
      <w:pPr>
        <w:spacing w:after="0" w:before="0"/>
      </w:pPr>
      <w:r>
        <w:rPr>
          <w:b w:val="0"/>
          <w:sz w:val="22"/>
        </w:rPr>
        <w:t>(d) Exaggerated DTRs</w:t>
      </w:r>
    </w:p>
    <w:p>
      <w:pPr>
        <w:spacing w:after="0" w:before="40"/>
      </w:pPr>
      <w:r>
        <w:rPr>
          <w:b/>
          <w:sz w:val="22"/>
        </w:rPr>
        <w:t>Answer: a</w:t>
      </w:r>
    </w:p>
    <w:p>
      <w:pPr>
        <w:spacing w:after="0" w:before="0"/>
      </w:pPr>
      <w:r>
        <w:rPr>
          <w:b w:val="0"/>
          <w:sz w:val="21"/>
        </w:rPr>
        <w:t>Solution: Twitching (neuromuscular irritability) is the earliest sign of hypocalcemia.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enters the room and finds a client clutching the chest, dyspneic and diaphoretic after an acute myocardial infarction. What should the nurse do FIRST?</w:t>
      </w:r>
    </w:p>
    <w:p>
      <w:pPr>
        <w:spacing w:after="0" w:before="0"/>
      </w:pPr>
      <w:r>
        <w:rPr>
          <w:b w:val="0"/>
          <w:sz w:val="22"/>
        </w:rPr>
        <w:t>(a) Assess the client's airway, breathing and circulation</w:t>
      </w:r>
    </w:p>
    <w:p>
      <w:pPr>
        <w:spacing w:after="0" w:before="0"/>
      </w:pPr>
      <w:r>
        <w:rPr>
          <w:b w:val="0"/>
          <w:sz w:val="22"/>
        </w:rPr>
        <w:t>(b) Administer sublingual nitroglycerin</w:t>
      </w:r>
    </w:p>
    <w:p>
      <w:pPr>
        <w:spacing w:after="0" w:before="0"/>
      </w:pPr>
      <w:r>
        <w:rPr>
          <w:b w:val="0"/>
          <w:sz w:val="22"/>
        </w:rPr>
        <w:t>(c) Obtain a stat 12-lead ECG</w:t>
      </w:r>
    </w:p>
    <w:p>
      <w:pPr>
        <w:spacing w:after="0" w:before="0"/>
      </w:pPr>
      <w:r>
        <w:rPr>
          <w:b w:val="0"/>
          <w:sz w:val="22"/>
        </w:rPr>
        <w:t>(d) Notify the health care provider</w:t>
      </w:r>
    </w:p>
    <w:p>
      <w:pPr>
        <w:spacing w:after="0" w:before="40"/>
      </w:pPr>
      <w:r>
        <w:rPr>
          <w:b/>
          <w:sz w:val="22"/>
        </w:rPr>
        <w:t>Answer: a</w:t>
      </w:r>
    </w:p>
    <w:p>
      <w:pPr>
        <w:spacing w:after="0" w:before="0"/>
      </w:pPr>
      <w:r>
        <w:rPr>
          <w:b w:val="0"/>
          <w:sz w:val="21"/>
        </w:rPr>
        <w:t>Solution: The nurse must always use the ABC (airway, breathing, circulation) priority framework; assessment precedes any intervention, however urgent it appears.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and most sensitive indicator of increased intracranial pressure (ICP) is:</w:t>
      </w:r>
    </w:p>
    <w:p>
      <w:pPr>
        <w:spacing w:after="0" w:before="0"/>
      </w:pPr>
      <w:r>
        <w:rPr>
          <w:b w:val="0"/>
          <w:sz w:val="22"/>
        </w:rPr>
        <w:t>(a) Bradycardia</w:t>
      </w:r>
    </w:p>
    <w:p>
      <w:pPr>
        <w:spacing w:after="0" w:before="0"/>
      </w:pPr>
      <w:r>
        <w:rPr>
          <w:b w:val="0"/>
          <w:sz w:val="22"/>
        </w:rPr>
        <w:t>(b) Vomiting</w:t>
      </w:r>
    </w:p>
    <w:p>
      <w:pPr>
        <w:spacing w:after="0" w:before="0"/>
      </w:pPr>
      <w:r>
        <w:rPr>
          <w:b w:val="0"/>
          <w:sz w:val="22"/>
        </w:rPr>
        <w:t>(c) Altered level of consciousness</w:t>
      </w:r>
    </w:p>
    <w:p>
      <w:pPr>
        <w:spacing w:after="0" w:before="0"/>
      </w:pPr>
      <w:r>
        <w:rPr>
          <w:b w:val="0"/>
          <w:sz w:val="22"/>
        </w:rPr>
        <w:t>(d) Papilloedema</w:t>
      </w:r>
    </w:p>
    <w:p>
      <w:pPr>
        <w:spacing w:after="0" w:before="40"/>
      </w:pPr>
      <w:r>
        <w:rPr>
          <w:b/>
          <w:sz w:val="22"/>
        </w:rPr>
        <w:t>Answer: c</w:t>
      </w:r>
    </w:p>
    <w:p>
      <w:pPr>
        <w:spacing w:after="0" w:before="0"/>
      </w:pPr>
      <w:r>
        <w:rPr>
          <w:b w:val="0"/>
          <w:sz w:val="21"/>
        </w:rPr>
        <w:t>Solution: A change in the level of consciousness is the earliest sign of rising intracranial pressure.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a patient requiring the infusion of 1000 ml of 5% dextrose over a 6-hour period using a standard macro drip set, at approximately how many drops per minute should the flow rate be set?</w:t>
      </w:r>
    </w:p>
    <w:p>
      <w:pPr>
        <w:spacing w:after="0" w:before="0"/>
      </w:pPr>
      <w:r>
        <w:rPr>
          <w:b w:val="0"/>
          <w:sz w:val="22"/>
        </w:rPr>
        <w:t>(a) Approximately 42 drops per minute</w:t>
      </w:r>
    </w:p>
    <w:p>
      <w:pPr>
        <w:spacing w:after="0" w:before="0"/>
      </w:pPr>
      <w:r>
        <w:rPr>
          <w:b w:val="0"/>
          <w:sz w:val="22"/>
        </w:rPr>
        <w:t>(b) Approximately 31 drops per minute</w:t>
      </w:r>
    </w:p>
    <w:p>
      <w:pPr>
        <w:spacing w:after="0" w:before="0"/>
      </w:pPr>
      <w:r>
        <w:rPr>
          <w:b w:val="0"/>
          <w:sz w:val="22"/>
        </w:rPr>
        <w:t>(c) Approximately 28 drops per minute</w:t>
      </w:r>
    </w:p>
    <w:p>
      <w:pPr>
        <w:spacing w:after="0" w:before="0"/>
      </w:pPr>
      <w:r>
        <w:rPr>
          <w:b w:val="0"/>
          <w:sz w:val="22"/>
        </w:rPr>
        <w:t>(d) Approximately 27 drops per minute</w:t>
      </w:r>
    </w:p>
    <w:p>
      <w:pPr>
        <w:spacing w:after="0" w:before="40"/>
      </w:pPr>
      <w:r>
        <w:rPr>
          <w:b/>
          <w:sz w:val="22"/>
        </w:rPr>
        <w:t>Answer: a</w:t>
      </w:r>
    </w:p>
    <w:p>
      <w:pPr>
        <w:spacing w:after="0" w:before="0"/>
      </w:pPr>
      <w:r>
        <w:rPr>
          <w:b w:val="0"/>
          <w:sz w:val="21"/>
        </w:rPr>
        <w:t>Solution: For a patient requiring the infusion of 1000 ml of 5% dextrose over a 6-hour period using a standard macro drip set, the flow rate should be set at approximately 42 drops per minute. The calculation is determined by dividing the total volume to be infused (1000 ml) by the total time in minutes (360 minutes) and multiplying it by the drip factor of the macro drip set (usually 15 drops/ml). This ensures a consistent and controlled infusion rate, delivering the prescribed amount of fluid within the desired timeframe.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60 mg 500 mcg</w:t>
      </w:r>
    </w:p>
    <w:p>
      <w:pPr>
        <w:spacing w:after="0" w:before="0"/>
      </w:pPr>
      <w:r>
        <w:rPr>
          <w:b w:val="0"/>
          <w:sz w:val="22"/>
        </w:rPr>
        <w:t>(b) 30 mg 200 mg</w:t>
      </w:r>
    </w:p>
    <w:p>
      <w:pPr>
        <w:spacing w:after="0" w:before="0"/>
      </w:pPr>
      <w:r>
        <w:rPr>
          <w:b w:val="0"/>
          <w:sz w:val="22"/>
        </w:rPr>
        <w:t>(c) 20 mg 150 mg</w:t>
      </w:r>
    </w:p>
    <w:p>
      <w:pPr>
        <w:spacing w:after="0" w:before="0"/>
      </w:pPr>
      <w:r>
        <w:rPr>
          <w:b w:val="0"/>
          <w:sz w:val="22"/>
        </w:rPr>
        <w:t>(d) 100 mg 250 mg</w:t>
      </w:r>
    </w:p>
    <w:p>
      <w:pPr>
        <w:spacing w:after="0" w:before="40"/>
      </w:pPr>
      <w:r>
        <w:rPr>
          <w:b/>
          <w:sz w:val="22"/>
        </w:rPr>
        <w:t>Answer: a</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It meant by posthumous child?</w:t>
      </w:r>
    </w:p>
    <w:p>
      <w:pPr>
        <w:spacing w:after="0" w:before="0"/>
      </w:pPr>
      <w:r>
        <w:rPr>
          <w:b w:val="0"/>
          <w:sz w:val="22"/>
        </w:rPr>
        <w:t>(a) Child who doesn't hate mother</w:t>
      </w:r>
    </w:p>
    <w:p>
      <w:pPr>
        <w:spacing w:after="0" w:before="0"/>
      </w:pPr>
      <w:r>
        <w:rPr>
          <w:b w:val="0"/>
          <w:sz w:val="22"/>
        </w:rPr>
        <w:t>(b) Child who lost the parents after birth</w:t>
      </w:r>
    </w:p>
    <w:p>
      <w:pPr>
        <w:spacing w:after="0" w:before="0"/>
      </w:pPr>
      <w:r>
        <w:rPr>
          <w:b w:val="0"/>
          <w:sz w:val="22"/>
        </w:rPr>
        <w:t>(c) Abused child</w:t>
      </w:r>
    </w:p>
    <w:p>
      <w:pPr>
        <w:spacing w:after="0" w:before="0"/>
      </w:pPr>
      <w:r>
        <w:rPr>
          <w:b w:val="0"/>
          <w:sz w:val="22"/>
        </w:rPr>
        <w:t>(d) Childbirth after death of both biological parent</w:t>
      </w:r>
    </w:p>
    <w:p>
      <w:pPr>
        <w:spacing w:after="0" w:before="40"/>
      </w:pPr>
      <w:r>
        <w:rPr>
          <w:b/>
          <w:sz w:val="22"/>
        </w:rPr>
        <w:t>Answer: d</w:t>
      </w:r>
    </w:p>
    <w:p>
      <w:pPr>
        <w:spacing w:after="0" w:before="0"/>
      </w:pPr>
      <w:r>
        <w:rPr>
          <w:b w:val="0"/>
          <w:sz w:val="21"/>
        </w:rPr>
        <w:t>Solution: A posthumous child refers to a child who is born after the death of one or both of their biological parents. It specifically refers to a child who is conceived before the death of the biological parent(s) but born after their demise. This situation can occur due to advanced reproductive technologies, such as postmortem sperm retrieval or the use of stored frozen embryos. The term "posthumous child" highlights the unique circumstances surrounding the child's birth and the absence of one or both biological parents during their upbringing. "Forensic Medicine: A Handbook for Professionals," Chapter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going to start the peritoneal dialysis. Which is a first priority action of the nurse?</w:t>
      </w:r>
    </w:p>
    <w:p>
      <w:pPr>
        <w:spacing w:after="0" w:before="0"/>
      </w:pPr>
      <w:r>
        <w:rPr>
          <w:b w:val="0"/>
          <w:sz w:val="22"/>
        </w:rPr>
        <w:t>(a) Place the client in left side lying position</w:t>
      </w:r>
    </w:p>
    <w:p>
      <w:pPr>
        <w:spacing w:after="0" w:before="0"/>
      </w:pPr>
      <w:r>
        <w:rPr>
          <w:b w:val="0"/>
          <w:sz w:val="22"/>
        </w:rPr>
        <w:t>(b) Apply Foley`s catheter</w:t>
      </w:r>
    </w:p>
    <w:p>
      <w:pPr>
        <w:spacing w:after="0" w:before="0"/>
      </w:pPr>
      <w:r>
        <w:rPr>
          <w:b w:val="0"/>
          <w:sz w:val="22"/>
        </w:rPr>
        <w:t>(c) Auscultate and palpate for bruit and thrill</w:t>
      </w:r>
    </w:p>
    <w:p>
      <w:pPr>
        <w:spacing w:after="0" w:before="0"/>
      </w:pPr>
      <w:r>
        <w:rPr>
          <w:b w:val="0"/>
          <w:sz w:val="22"/>
        </w:rPr>
        <w:t>(d) Warm the dialysate solution</w:t>
      </w:r>
    </w:p>
    <w:p>
      <w:pPr>
        <w:spacing w:after="0" w:before="40"/>
      </w:pPr>
      <w:r>
        <w:rPr>
          <w:b/>
          <w:sz w:val="22"/>
        </w:rPr>
        <w:t>Answer: d</w:t>
      </w:r>
    </w:p>
    <w:p>
      <w:pPr>
        <w:spacing w:after="0" w:before="0"/>
      </w:pPr>
      <w:r>
        <w:rPr>
          <w:b w:val="0"/>
          <w:sz w:val="21"/>
        </w:rPr>
        <w:t>Solution: The peritoneal cavity is very sensitive to temperature, and using cold dialysate can cause discomfort and pain during the procedure. Warming the dialysate to body temperature (around 37°C or 98.6°F) before use helps to prevent this discomfort and improve the effectiveness of the dialysis. In addition, warming the dialysate can help to increase the flow of fluid into and out of the peritoneal cavity, which can improve the efficiency of the dialysis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Oxytocin is mainly involved in which of the following functions ?</w:t>
      </w:r>
    </w:p>
    <w:p>
      <w:pPr>
        <w:spacing w:after="0" w:before="0"/>
      </w:pPr>
      <w:r>
        <w:rPr>
          <w:b w:val="0"/>
          <w:sz w:val="22"/>
        </w:rPr>
        <w:t>(a) Growth and mental ability</w:t>
      </w:r>
    </w:p>
    <w:p>
      <w:pPr>
        <w:spacing w:after="0" w:before="0"/>
      </w:pPr>
      <w:r>
        <w:rPr>
          <w:b w:val="0"/>
          <w:sz w:val="22"/>
        </w:rPr>
        <w:t>(b) Motor skills</w:t>
      </w:r>
    </w:p>
    <w:p>
      <w:pPr>
        <w:spacing w:after="0" w:before="0"/>
      </w:pPr>
      <w:r>
        <w:rPr>
          <w:b w:val="0"/>
          <w:sz w:val="22"/>
        </w:rPr>
        <w:t>(c) Childbirth and lactation</w:t>
      </w:r>
    </w:p>
    <w:p>
      <w:pPr>
        <w:spacing w:after="0" w:before="0"/>
      </w:pPr>
      <w:r>
        <w:rPr>
          <w:b w:val="0"/>
          <w:sz w:val="22"/>
        </w:rPr>
        <w:t>(d) Regulation of blood pressure</w:t>
      </w:r>
    </w:p>
    <w:p>
      <w:pPr>
        <w:spacing w:after="0" w:before="40"/>
      </w:pPr>
      <w:r>
        <w:rPr>
          <w:b/>
          <w:sz w:val="22"/>
        </w:rPr>
        <w:t>Answer: c</w:t>
      </w:r>
    </w:p>
    <w:p>
      <w:pPr>
        <w:spacing w:after="0" w:before="0"/>
      </w:pPr>
      <w:r>
        <w:rPr>
          <w:b w:val="0"/>
          <w:sz w:val="21"/>
        </w:rPr>
        <w:t>Solution: Oxytocin stimulates uterine contractions during childbirth and milk ejection (let-down) during lactation.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Spasmodic involuntary contraction of neck sternocleidomastoid muscle twisting the head to one side is</w:t>
      </w:r>
    </w:p>
    <w:p>
      <w:pPr>
        <w:spacing w:after="0" w:before="0"/>
      </w:pPr>
      <w:r>
        <w:rPr>
          <w:b w:val="0"/>
          <w:sz w:val="22"/>
        </w:rPr>
        <w:t>(a) Tardive dyskinesia</w:t>
      </w:r>
    </w:p>
    <w:p>
      <w:pPr>
        <w:spacing w:after="0" w:before="0"/>
      </w:pPr>
      <w:r>
        <w:rPr>
          <w:b w:val="0"/>
          <w:sz w:val="22"/>
        </w:rPr>
        <w:t>(b) Torticollis (Wryneck)</w:t>
      </w:r>
    </w:p>
    <w:p>
      <w:pPr>
        <w:spacing w:after="0" w:before="0"/>
      </w:pPr>
      <w:r>
        <w:rPr>
          <w:b w:val="0"/>
          <w:sz w:val="22"/>
        </w:rPr>
        <w:t>(c) Pseudoparkinsonism</w:t>
      </w:r>
    </w:p>
    <w:p>
      <w:pPr>
        <w:spacing w:after="0" w:before="0"/>
      </w:pPr>
      <w:r>
        <w:rPr>
          <w:b w:val="0"/>
          <w:sz w:val="22"/>
        </w:rPr>
        <w:t>(d) Oculogyric crisis</w:t>
      </w:r>
    </w:p>
    <w:p>
      <w:pPr>
        <w:spacing w:after="0" w:before="40"/>
      </w:pPr>
      <w:r>
        <w:rPr>
          <w:b/>
          <w:sz w:val="22"/>
        </w:rPr>
        <w:t>Answer: b</w:t>
      </w:r>
    </w:p>
    <w:p>
      <w:pPr>
        <w:spacing w:after="0" w:before="0"/>
      </w:pPr>
      <w:r>
        <w:rPr>
          <w:b w:val="0"/>
          <w:sz w:val="21"/>
        </w:rPr>
        <w:t>Solution: Torticollis (wryneck) is a painful focal dystonia resulting in involuntary neck muscle spasm and abnormal lateral tilt of the head.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among the following is the sign of severe dehydration among infants?</w:t>
      </w:r>
    </w:p>
    <w:p>
      <w:pPr>
        <w:spacing w:after="0" w:before="0"/>
      </w:pPr>
      <w:r>
        <w:rPr>
          <w:b w:val="0"/>
          <w:sz w:val="22"/>
        </w:rPr>
        <w:t>(a) Anxiety and increased skin turgor</w:t>
      </w:r>
    </w:p>
    <w:p>
      <w:pPr>
        <w:spacing w:after="0" w:before="0"/>
      </w:pPr>
      <w:r>
        <w:rPr>
          <w:b w:val="0"/>
          <w:sz w:val="22"/>
        </w:rPr>
        <w:t>(b) Excessive crying and excessive thirst</w:t>
      </w:r>
    </w:p>
    <w:p>
      <w:pPr>
        <w:spacing w:after="0" w:before="0"/>
      </w:pPr>
      <w:r>
        <w:rPr>
          <w:b w:val="0"/>
          <w:sz w:val="22"/>
        </w:rPr>
        <w:t>(c) Drowsiness, depressed fontanelle and decreased skin turgor</w:t>
      </w:r>
    </w:p>
    <w:p>
      <w:pPr>
        <w:spacing w:after="0" w:before="0"/>
      </w:pPr>
      <w:r>
        <w:rPr>
          <w:b w:val="0"/>
          <w:sz w:val="22"/>
        </w:rPr>
        <w:t>(d) Drowsiness, bulging fontanelle and decreased skin turgor</w:t>
      </w:r>
    </w:p>
    <w:p>
      <w:pPr>
        <w:spacing w:after="0" w:before="40"/>
      </w:pPr>
      <w:r>
        <w:rPr>
          <w:b/>
          <w:sz w:val="22"/>
        </w:rPr>
        <w:t>Answer: c</w:t>
      </w:r>
    </w:p>
    <w:p>
      <w:pPr>
        <w:spacing w:after="0" w:before="0"/>
      </w:pPr>
      <w:r>
        <w:rPr>
          <w:b w:val="0"/>
          <w:sz w:val="21"/>
        </w:rPr>
        <w:t>Solution: Severe dehydration in infants presents with drowsiness, sunken (depressed) fontanelle and decreased skin turgor.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site for checking capillary refill time is:</w:t>
      </w:r>
    </w:p>
    <w:p>
      <w:pPr>
        <w:spacing w:after="0" w:before="0"/>
      </w:pPr>
      <w:r>
        <w:rPr>
          <w:b w:val="0"/>
          <w:sz w:val="22"/>
        </w:rPr>
        <w:t>(a) Fingernail bed</w:t>
      </w:r>
    </w:p>
    <w:p>
      <w:pPr>
        <w:spacing w:after="0" w:before="0"/>
      </w:pPr>
      <w:r>
        <w:rPr>
          <w:b w:val="0"/>
          <w:sz w:val="22"/>
        </w:rPr>
        <w:t>(b) Forehead</w:t>
      </w:r>
    </w:p>
    <w:p>
      <w:pPr>
        <w:spacing w:after="0" w:before="0"/>
      </w:pPr>
      <w:r>
        <w:rPr>
          <w:b w:val="0"/>
          <w:sz w:val="22"/>
        </w:rPr>
        <w:t>(c) Sternum</w:t>
      </w:r>
    </w:p>
    <w:p>
      <w:pPr>
        <w:spacing w:after="0" w:before="0"/>
      </w:pPr>
      <w:r>
        <w:rPr>
          <w:b w:val="0"/>
          <w:sz w:val="22"/>
        </w:rPr>
        <w:t>(d) Earlobe</w:t>
      </w:r>
    </w:p>
    <w:p>
      <w:pPr>
        <w:spacing w:after="0" w:before="40"/>
      </w:pPr>
      <w:r>
        <w:rPr>
          <w:b/>
          <w:sz w:val="22"/>
        </w:rPr>
        <w:t>Answer: a</w:t>
      </w:r>
    </w:p>
    <w:p>
      <w:pPr>
        <w:spacing w:after="0" w:before="0"/>
      </w:pPr>
      <w:r>
        <w:rPr>
          <w:b w:val="0"/>
          <w:sz w:val="21"/>
        </w:rPr>
        <w:t>Solution: Capillary refill is checked by pressing the fingernail bed; normal refill is less than 3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IV Potassium Chloride (KCl) correction, which ECG change indicates hyperkalemia requiring immediate stoppage of infusion?</w:t>
      </w:r>
    </w:p>
    <w:p>
      <w:pPr>
        <w:spacing w:after="0" w:before="0"/>
      </w:pPr>
      <w:r>
        <w:rPr>
          <w:b w:val="0"/>
          <w:sz w:val="22"/>
        </w:rPr>
        <w:t>(a) Shallow inverted T wave</w:t>
      </w:r>
    </w:p>
    <w:p>
      <w:pPr>
        <w:spacing w:after="0" w:before="0"/>
      </w:pPr>
      <w:r>
        <w:rPr>
          <w:b w:val="0"/>
          <w:sz w:val="22"/>
        </w:rPr>
        <w:t>(b) Prominent U wave</w:t>
      </w:r>
    </w:p>
    <w:p>
      <w:pPr>
        <w:spacing w:after="0" w:before="0"/>
      </w:pPr>
      <w:r>
        <w:rPr>
          <w:b w:val="0"/>
          <w:sz w:val="22"/>
        </w:rPr>
        <w:t>(c) Tall peaked T waves</w:t>
      </w:r>
    </w:p>
    <w:p>
      <w:pPr>
        <w:spacing w:after="0" w:before="0"/>
      </w:pPr>
      <w:r>
        <w:rPr>
          <w:b w:val="0"/>
          <w:sz w:val="22"/>
        </w:rPr>
        <w:t>(d) Depressed ST segment</w:t>
      </w:r>
    </w:p>
    <w:p>
      <w:pPr>
        <w:spacing w:after="0" w:before="40"/>
      </w:pPr>
      <w:r>
        <w:rPr>
          <w:b/>
          <w:sz w:val="22"/>
        </w:rPr>
        <w:t>Answer: c</w:t>
      </w:r>
    </w:p>
    <w:p>
      <w:pPr>
        <w:spacing w:after="0" w:before="0"/>
      </w:pPr>
      <w:r>
        <w:rPr>
          <w:b w:val="0"/>
          <w:sz w:val="21"/>
        </w:rPr>
        <w:t>Solution: Tall peaked T waves are the earliest ECG sign of hyperkalemia. Immediate cessation of IV potassium infusion is required to avoid lethal dysrhythmias.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nursing action following a needle stick injury from a HIV-positive patient?</w:t>
      </w:r>
    </w:p>
    <w:p>
      <w:pPr>
        <w:spacing w:after="0" w:before="0"/>
      </w:pPr>
      <w:r>
        <w:rPr>
          <w:b w:val="0"/>
          <w:sz w:val="22"/>
        </w:rPr>
        <w:t>(a) Give incision to the injury</w:t>
      </w:r>
    </w:p>
    <w:p>
      <w:pPr>
        <w:spacing w:after="0" w:before="0"/>
      </w:pPr>
      <w:r>
        <w:rPr>
          <w:b w:val="0"/>
          <w:sz w:val="22"/>
        </w:rPr>
        <w:t>(b) Suck out the blood</w:t>
      </w:r>
    </w:p>
    <w:p>
      <w:pPr>
        <w:spacing w:after="0" w:before="0"/>
      </w:pPr>
      <w:r>
        <w:rPr>
          <w:b w:val="0"/>
          <w:sz w:val="22"/>
        </w:rPr>
        <w:t>(c) Squeeze out the blood forcefully</w:t>
      </w:r>
    </w:p>
    <w:p>
      <w:pPr>
        <w:spacing w:after="0" w:before="0"/>
      </w:pPr>
      <w:r>
        <w:rPr>
          <w:b w:val="0"/>
          <w:sz w:val="22"/>
        </w:rPr>
        <w:t>(d) Wash immediately with soap and running water</w:t>
      </w:r>
    </w:p>
    <w:p>
      <w:pPr>
        <w:spacing w:after="0" w:before="40"/>
      </w:pPr>
      <w:r>
        <w:rPr>
          <w:b/>
          <w:sz w:val="22"/>
        </w:rPr>
        <w:t>Answer: d</w:t>
      </w:r>
    </w:p>
    <w:p>
      <w:pPr>
        <w:spacing w:after="0" w:before="0"/>
      </w:pPr>
      <w:r>
        <w:rPr>
          <w:b w:val="0"/>
          <w:sz w:val="21"/>
        </w:rPr>
        <w:t>Solution: Immediate management of occupational exposure involves washing the affected site thoroughly with soap and running water. Do not scrub or squeeze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pregnant woman at 38 weeks gestation is diagnosed with eclampsia and is receiving magnesium sulphate therapy. Which parameter should the nursing officer monitor to detect magnesium toxicity?</w:t>
      </w:r>
    </w:p>
    <w:p>
      <w:pPr>
        <w:spacing w:after="0" w:before="0"/>
      </w:pPr>
      <w:r>
        <w:rPr>
          <w:b w:val="0"/>
          <w:sz w:val="22"/>
        </w:rPr>
        <w:t>(a) Temperature</w:t>
      </w:r>
    </w:p>
    <w:p>
      <w:pPr>
        <w:spacing w:after="0" w:before="0"/>
      </w:pPr>
      <w:r>
        <w:rPr>
          <w:b w:val="0"/>
          <w:sz w:val="22"/>
        </w:rPr>
        <w:t>(b) Deep tendon reflexes</w:t>
      </w:r>
    </w:p>
    <w:p>
      <w:pPr>
        <w:spacing w:after="0" w:before="0"/>
      </w:pPr>
      <w:r>
        <w:rPr>
          <w:b w:val="0"/>
          <w:sz w:val="22"/>
        </w:rPr>
        <w:t>(c) Haemoglobin level</w:t>
      </w:r>
    </w:p>
    <w:p>
      <w:pPr>
        <w:spacing w:after="0" w:before="0"/>
      </w:pPr>
      <w:r>
        <w:rPr>
          <w:b w:val="0"/>
          <w:sz w:val="22"/>
        </w:rPr>
        <w:t>(d) Blood glucose</w:t>
      </w:r>
    </w:p>
    <w:p>
      <w:pPr>
        <w:spacing w:after="0" w:before="40"/>
      </w:pPr>
      <w:r>
        <w:rPr>
          <w:b/>
          <w:sz w:val="22"/>
        </w:rPr>
        <w:t>Answer: b</w:t>
      </w:r>
    </w:p>
    <w:p>
      <w:pPr>
        <w:spacing w:after="0" w:before="0"/>
      </w:pPr>
      <w:r>
        <w:rPr>
          <w:b w:val="0"/>
          <w:sz w:val="21"/>
        </w:rPr>
        <w:t>Solution: Magnesium sulphate can cause hypermagnesaemia; the nurse monitors deep tendon reflexes (which disappear first), respirations and urine output to detect toxicity.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