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most appropriate nursing intervention for a patient with epistaxis is:</w:t>
      </w:r>
    </w:p>
    <w:p>
      <w:pPr>
        <w:spacing w:after="0" w:before="0"/>
      </w:pPr>
      <w:r>
        <w:rPr>
          <w:b w:val="0"/>
          <w:sz w:val="22"/>
        </w:rPr>
        <w:t>(a) Apply cold pack to the feet</w:t>
      </w:r>
    </w:p>
    <w:p>
      <w:pPr>
        <w:spacing w:after="0" w:before="0"/>
      </w:pPr>
      <w:r>
        <w:rPr>
          <w:b w:val="0"/>
          <w:sz w:val="22"/>
        </w:rPr>
        <w:t>(b) Insert a cotton plug in the ear</w:t>
      </w:r>
    </w:p>
    <w:p>
      <w:pPr>
        <w:spacing w:after="0" w:before="0"/>
      </w:pPr>
      <w:r>
        <w:rPr>
          <w:b w:val="0"/>
          <w:sz w:val="22"/>
        </w:rPr>
        <w:t>(c) Pinch the nostrils and lean forward</w:t>
      </w:r>
    </w:p>
    <w:p>
      <w:pPr>
        <w:spacing w:after="0" w:before="0"/>
      </w:pPr>
      <w:r>
        <w:rPr>
          <w:b w:val="0"/>
          <w:sz w:val="22"/>
        </w:rPr>
        <w:t>(d) Tilt the head backwards</w:t>
      </w:r>
    </w:p>
    <w:p>
      <w:pPr>
        <w:spacing w:after="0" w:before="40"/>
      </w:pPr>
      <w:r>
        <w:rPr>
          <w:b/>
          <w:sz w:val="22"/>
        </w:rPr>
        <w:t>Answer: c</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vaccine that (arms blister and leaves permanen scar in babies Is:</w:t>
      </w:r>
    </w:p>
    <w:p>
      <w:pPr>
        <w:spacing w:after="0" w:before="0"/>
      </w:pPr>
      <w:r>
        <w:rPr>
          <w:b w:val="0"/>
          <w:sz w:val="22"/>
        </w:rPr>
        <w:t>(a) Pentavalent</w:t>
      </w:r>
    </w:p>
    <w:p>
      <w:pPr>
        <w:spacing w:after="0" w:before="0"/>
      </w:pPr>
      <w:r>
        <w:rPr>
          <w:b w:val="0"/>
          <w:sz w:val="22"/>
        </w:rPr>
        <w:t>(b) BCG</w:t>
      </w:r>
    </w:p>
    <w:p>
      <w:pPr>
        <w:spacing w:after="0" w:before="0"/>
      </w:pPr>
      <w:r>
        <w:rPr>
          <w:b w:val="0"/>
          <w:sz w:val="22"/>
        </w:rPr>
        <w:t>(c) Meade.</w:t>
      </w:r>
    </w:p>
    <w:p>
      <w:pPr>
        <w:spacing w:after="0" w:before="0"/>
      </w:pPr>
      <w:r>
        <w:rPr>
          <w:b w:val="0"/>
          <w:sz w:val="22"/>
        </w:rPr>
        <w:t>(d) DPT</w:t>
      </w:r>
    </w:p>
    <w:p>
      <w:pPr>
        <w:spacing w:after="0" w:before="40"/>
      </w:pPr>
      <w:r>
        <w:rPr>
          <w:b/>
          <w:sz w:val="22"/>
        </w:rPr>
        <w:t>Answer: b</w:t>
      </w:r>
    </w:p>
    <w:p>
      <w:pPr>
        <w:spacing w:after="0" w:before="0"/>
      </w:pPr>
      <w:r>
        <w:rPr>
          <w:b w:val="0"/>
          <w:sz w:val="21"/>
        </w:rPr>
        <w:t>Solution: The vaccine that can cause blistering and leave a permanent scar in babies is the BCG vaccine. The Bacillus Calmette-Gu°rin (BCG) vaccine is administered to protect against tuberculosis (TB). After receiving the BCG vaccine, a localized skin reaction typically occurs at the injection site. This reaction can include the formation of a small blister, which eventually scabs over and heals. In some cases, a small scar may remain at the injection site, although it does not cause any functional impairment. The BCG vaccine is commonly given to infants in areas where TB is prevalent.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inheritance patterns typically shows affected individuals in every generation with male-to-male transmission?</w:t>
      </w:r>
    </w:p>
    <w:p>
      <w:pPr>
        <w:spacing w:after="0" w:before="0"/>
      </w:pPr>
      <w:r>
        <w:rPr>
          <w:b w:val="0"/>
          <w:sz w:val="22"/>
        </w:rPr>
        <w:t>(a) Autosomal recessive</w:t>
      </w:r>
    </w:p>
    <w:p>
      <w:pPr>
        <w:spacing w:after="0" w:before="0"/>
      </w:pPr>
      <w:r>
        <w:rPr>
          <w:b w:val="0"/>
          <w:sz w:val="22"/>
        </w:rPr>
        <w:t>(b) X-linked dominant</w:t>
      </w:r>
    </w:p>
    <w:p>
      <w:pPr>
        <w:spacing w:after="0" w:before="0"/>
      </w:pPr>
      <w:r>
        <w:rPr>
          <w:b w:val="0"/>
          <w:sz w:val="22"/>
        </w:rPr>
        <w:t>(c) X-linked recessive</w:t>
      </w:r>
    </w:p>
    <w:p>
      <w:pPr>
        <w:spacing w:after="0" w:before="0"/>
      </w:pPr>
      <w:r>
        <w:rPr>
          <w:b w:val="0"/>
          <w:sz w:val="22"/>
        </w:rPr>
        <w:t>(d) Autosomal dominant</w:t>
      </w:r>
    </w:p>
    <w:p>
      <w:pPr>
        <w:spacing w:after="0" w:before="40"/>
      </w:pPr>
      <w:r>
        <w:rPr>
          <w:b/>
          <w:sz w:val="22"/>
        </w:rPr>
        <w:t>Answer: d</w:t>
      </w:r>
    </w:p>
    <w:p>
      <w:pPr>
        <w:spacing w:after="0" w:before="0"/>
      </w:pPr>
      <w:r>
        <w:rPr>
          <w:b w:val="0"/>
          <w:sz w:val="21"/>
        </w:rPr>
        <w:t>Solution: Autosomal dominant traits appear in every generation and show male-to-male transmission; affected persons have a 50% chance of passing the gene to each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family planning counseling, which method offers the most reliable protection against BOTH pregnancy and sexually transmitted infections?</w:t>
      </w:r>
    </w:p>
    <w:p>
      <w:pPr>
        <w:spacing w:after="0" w:before="0"/>
      </w:pPr>
      <w:r>
        <w:rPr>
          <w:b w:val="0"/>
          <w:sz w:val="22"/>
        </w:rPr>
        <w:t>(a) Coitus interruptus (withdrawal)</w:t>
      </w:r>
    </w:p>
    <w:p>
      <w:pPr>
        <w:spacing w:after="0" w:before="0"/>
      </w:pPr>
      <w:r>
        <w:rPr>
          <w:b w:val="0"/>
          <w:sz w:val="22"/>
        </w:rPr>
        <w:t>(b) Male condom</w:t>
      </w:r>
    </w:p>
    <w:p>
      <w:pPr>
        <w:spacing w:after="0" w:before="0"/>
      </w:pPr>
      <w:r>
        <w:rPr>
          <w:b w:val="0"/>
          <w:sz w:val="22"/>
        </w:rPr>
        <w:t>(c) Intrauterine contraceptive device</w:t>
      </w:r>
    </w:p>
    <w:p>
      <w:pPr>
        <w:spacing w:after="0" w:before="0"/>
      </w:pPr>
      <w:r>
        <w:rPr>
          <w:b w:val="0"/>
          <w:sz w:val="22"/>
        </w:rPr>
        <w:t>(d) Oral contraceptive pills</w:t>
      </w:r>
    </w:p>
    <w:p>
      <w:pPr>
        <w:spacing w:after="0" w:before="40"/>
      </w:pPr>
      <w:r>
        <w:rPr>
          <w:b/>
          <w:sz w:val="22"/>
        </w:rPr>
        <w:t>Answer: b</w:t>
      </w:r>
    </w:p>
    <w:p>
      <w:pPr>
        <w:spacing w:after="0" w:before="0"/>
      </w:pPr>
      <w:r>
        <w:rPr>
          <w:b w:val="0"/>
          <w:sz w:val="21"/>
        </w:rPr>
        <w:t>Solution: Barrier methods, especially the male condom, are the only widely available methods that protect against both pregnancy and STIs when used consistently.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Oral contraceptive pills (OCP) will be given after how many hours of unprotected sexual intercourse?</w:t>
      </w:r>
    </w:p>
    <w:p>
      <w:pPr>
        <w:spacing w:after="0" w:before="0"/>
      </w:pPr>
      <w:r>
        <w:rPr>
          <w:b w:val="0"/>
          <w:sz w:val="22"/>
        </w:rPr>
        <w:t>(a) Within 36 hours</w:t>
      </w:r>
    </w:p>
    <w:p>
      <w:pPr>
        <w:spacing w:after="0" w:before="0"/>
      </w:pPr>
      <w:r>
        <w:rPr>
          <w:b w:val="0"/>
          <w:sz w:val="22"/>
        </w:rPr>
        <w:t>(b) Within 12 hours</w:t>
      </w:r>
    </w:p>
    <w:p>
      <w:pPr>
        <w:spacing w:after="0" w:before="0"/>
      </w:pPr>
      <w:r>
        <w:rPr>
          <w:b w:val="0"/>
          <w:sz w:val="22"/>
        </w:rPr>
        <w:t>(c) Within 72 hours</w:t>
      </w:r>
    </w:p>
    <w:p>
      <w:pPr>
        <w:spacing w:after="0" w:before="0"/>
      </w:pPr>
      <w:r>
        <w:rPr>
          <w:b w:val="0"/>
          <w:sz w:val="22"/>
        </w:rPr>
        <w:t>(d) After 96 hours</w:t>
      </w:r>
    </w:p>
    <w:p>
      <w:pPr>
        <w:spacing w:after="0" w:before="40"/>
      </w:pPr>
      <w:r>
        <w:rPr>
          <w:b/>
          <w:sz w:val="22"/>
        </w:rPr>
        <w:t>Answer: c</w:t>
      </w:r>
    </w:p>
    <w:p>
      <w:pPr>
        <w:spacing w:after="0" w:before="0"/>
      </w:pPr>
      <w:r>
        <w:rPr>
          <w:b w:val="0"/>
          <w:sz w:val="21"/>
        </w:rPr>
        <w:t>Solution: Levonorgestrel emergency contraceptive pills are most effective when taken within 72 hours of unprotected intercourse.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example of positive feedback mechanism in our body is:</w:t>
      </w:r>
    </w:p>
    <w:p>
      <w:pPr>
        <w:spacing w:after="0" w:before="0"/>
      </w:pPr>
      <w:r>
        <w:rPr>
          <w:b w:val="0"/>
          <w:sz w:val="22"/>
        </w:rPr>
        <w:t>(a) Baroreceptor mechanism</w:t>
      </w:r>
    </w:p>
    <w:p>
      <w:pPr>
        <w:spacing w:after="0" w:before="0"/>
      </w:pPr>
      <w:r>
        <w:rPr>
          <w:b w:val="0"/>
          <w:sz w:val="22"/>
        </w:rPr>
        <w:t>(b) Temperature regulation</w:t>
      </w:r>
    </w:p>
    <w:p>
      <w:pPr>
        <w:spacing w:after="0" w:before="0"/>
      </w:pPr>
      <w:r>
        <w:rPr>
          <w:b w:val="0"/>
          <w:sz w:val="22"/>
        </w:rPr>
        <w:t>(c) Oxytocin in childbirth</w:t>
      </w:r>
    </w:p>
    <w:p>
      <w:pPr>
        <w:spacing w:after="0" w:before="0"/>
      </w:pPr>
      <w:r>
        <w:rPr>
          <w:b w:val="0"/>
          <w:sz w:val="22"/>
        </w:rPr>
        <w:t>(d) Regulation of thyroid hormone</w:t>
      </w:r>
    </w:p>
    <w:p>
      <w:pPr>
        <w:spacing w:after="0" w:before="40"/>
      </w:pPr>
      <w:r>
        <w:rPr>
          <w:b/>
          <w:sz w:val="22"/>
        </w:rPr>
        <w:t>Answer: c</w:t>
      </w:r>
    </w:p>
    <w:p>
      <w:pPr>
        <w:spacing w:after="0" w:before="0"/>
      </w:pPr>
      <w:r>
        <w:rPr>
          <w:b w:val="0"/>
          <w:sz w:val="21"/>
        </w:rPr>
        <w:t>Solution: Oxytocin release during childbirth is an example of a positive feedback mechanism (contractions → more oxytocin → stronger contractions).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pelvic shape that has the poorest prognosis from vagina delivery is:</w:t>
      </w:r>
    </w:p>
    <w:p>
      <w:pPr>
        <w:spacing w:after="0" w:before="0"/>
      </w:pPr>
      <w:r>
        <w:rPr>
          <w:b w:val="0"/>
          <w:sz w:val="22"/>
        </w:rPr>
        <w:t>(a) Gynecoid</w:t>
      </w:r>
    </w:p>
    <w:p>
      <w:pPr>
        <w:spacing w:after="0" w:before="0"/>
      </w:pPr>
      <w:r>
        <w:rPr>
          <w:b w:val="0"/>
          <w:sz w:val="22"/>
        </w:rPr>
        <w:t>(b) Anthropoid</w:t>
      </w:r>
    </w:p>
    <w:p>
      <w:pPr>
        <w:spacing w:after="0" w:before="0"/>
      </w:pPr>
      <w:r>
        <w:rPr>
          <w:b w:val="0"/>
          <w:sz w:val="22"/>
        </w:rPr>
        <w:t>(c) Android</w:t>
      </w:r>
    </w:p>
    <w:p>
      <w:pPr>
        <w:spacing w:after="0" w:before="0"/>
      </w:pPr>
      <w:r>
        <w:rPr>
          <w:b w:val="0"/>
          <w:sz w:val="22"/>
        </w:rPr>
        <w:t>(d) Platypelloid</w:t>
      </w:r>
    </w:p>
    <w:p>
      <w:pPr>
        <w:spacing w:after="0" w:before="40"/>
      </w:pPr>
      <w:r>
        <w:rPr>
          <w:b/>
          <w:sz w:val="22"/>
        </w:rPr>
        <w:t>Answer: c</w:t>
      </w:r>
    </w:p>
    <w:p>
      <w:pPr>
        <w:spacing w:after="0" w:before="0"/>
      </w:pPr>
      <w:r>
        <w:rPr>
          <w:b w:val="0"/>
          <w:sz w:val="21"/>
        </w:rPr>
        <w:t>Solution: The pelvic shape that has the poorest prognosis for vaginal delivery is an android pelvis. The android pelvis is characterized by a narrow pelvic inlet and a more prominent sacrum, resulting in a reduced capacity for the passage of the fetal head during childbirth. This pelvic shape is often associated with difficulty in achieving successful vaginal delivery, especially in cases where the fetal head is larger or the presentation is not optimal. In such cases, a cesarean section may be necessary to ensure the safety of both the mother and the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IMNCI, Danger sign of sick baby includes:</w:t>
      </w:r>
    </w:p>
    <w:p>
      <w:pPr>
        <w:spacing w:after="0" w:before="0"/>
      </w:pPr>
      <w:r>
        <w:rPr>
          <w:b w:val="0"/>
          <w:sz w:val="22"/>
        </w:rPr>
        <w:t>(a) Sole and palm are yellow in color</w:t>
      </w:r>
    </w:p>
    <w:p>
      <w:pPr>
        <w:spacing w:after="0" w:before="0"/>
      </w:pPr>
      <w:r>
        <w:rPr>
          <w:b w:val="0"/>
          <w:sz w:val="22"/>
        </w:rPr>
        <w:t>(b) Persistent vomiting</w:t>
      </w:r>
    </w:p>
    <w:p>
      <w:pPr>
        <w:spacing w:after="0" w:before="0"/>
      </w:pPr>
      <w:r>
        <w:rPr>
          <w:b w:val="0"/>
          <w:sz w:val="22"/>
        </w:rPr>
        <w:t>(c) Watery eyes</w:t>
      </w:r>
    </w:p>
    <w:p>
      <w:pPr>
        <w:spacing w:after="0" w:before="0"/>
      </w:pPr>
      <w:r>
        <w:rPr>
          <w:b w:val="0"/>
          <w:sz w:val="22"/>
        </w:rPr>
        <w:t>(d) Fever</w:t>
      </w:r>
    </w:p>
    <w:p>
      <w:pPr>
        <w:spacing w:after="0" w:before="40"/>
      </w:pPr>
      <w:r>
        <w:rPr>
          <w:b/>
          <w:sz w:val="22"/>
        </w:rPr>
        <w:t>Answer: b</w:t>
      </w:r>
    </w:p>
    <w:p>
      <w:pPr>
        <w:spacing w:after="0" w:before="0"/>
      </w:pPr>
      <w:r>
        <w:rPr>
          <w:b w:val="0"/>
          <w:sz w:val="21"/>
        </w:rPr>
        <w:t>Solution: According to IMNCI, persistent vomiting is a danger sign in a sick baby.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older male patient receiving normal saline 0.9% through IV line complains of shortness of breath and palpitation. The assessment reveals that the central venous pressure (CVP) is 18 cm H2O. What would be the priority nursing intervention?</w:t>
      </w:r>
    </w:p>
    <w:p>
      <w:pPr>
        <w:spacing w:after="0" w:before="0"/>
      </w:pPr>
      <w:r>
        <w:rPr>
          <w:b w:val="0"/>
          <w:sz w:val="22"/>
        </w:rPr>
        <w:t>(a) Discontinue the fluid</w:t>
      </w:r>
    </w:p>
    <w:p>
      <w:pPr>
        <w:spacing w:after="0" w:before="0"/>
      </w:pPr>
      <w:r>
        <w:rPr>
          <w:b w:val="0"/>
          <w:sz w:val="22"/>
        </w:rPr>
        <w:t>(b) Continue the IV fluid</w:t>
      </w:r>
    </w:p>
    <w:p>
      <w:pPr>
        <w:spacing w:after="0" w:before="0"/>
      </w:pPr>
      <w:r>
        <w:rPr>
          <w:b w:val="0"/>
          <w:sz w:val="22"/>
        </w:rPr>
        <w:t>(c) Increase the flow rate of IV fluid</w:t>
      </w:r>
    </w:p>
    <w:p>
      <w:pPr>
        <w:spacing w:after="0" w:before="0"/>
      </w:pPr>
      <w:r>
        <w:rPr>
          <w:b w:val="0"/>
          <w:sz w:val="22"/>
        </w:rPr>
        <w:t>(d) Notify to the physician</w:t>
      </w:r>
    </w:p>
    <w:p>
      <w:pPr>
        <w:spacing w:after="0" w:before="40"/>
      </w:pPr>
      <w:r>
        <w:rPr>
          <w:b/>
          <w:sz w:val="22"/>
        </w:rPr>
        <w:t>Answer: d</w:t>
      </w:r>
    </w:p>
    <w:p>
      <w:pPr>
        <w:spacing w:after="0" w:before="0"/>
      </w:pPr>
      <w:r>
        <w:rPr>
          <w:b w:val="0"/>
          <w:sz w:val="21"/>
        </w:rPr>
        <w:t>Solution: Shortness of breath and an elevated CVP during an IV infusion indicate fluid overload; the nurse should stop/slow the infusion and notify the physician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following normal third stage delivery, where should the uterine fundus be palpated?</w:t>
      </w:r>
    </w:p>
    <w:p>
      <w:pPr>
        <w:spacing w:after="0" w:before="0"/>
      </w:pPr>
      <w:r>
        <w:rPr>
          <w:b w:val="0"/>
          <w:sz w:val="22"/>
        </w:rPr>
        <w:t>(a) Below symphysis pubis</w:t>
      </w:r>
    </w:p>
    <w:p>
      <w:pPr>
        <w:spacing w:after="0" w:before="0"/>
      </w:pPr>
      <w:r>
        <w:rPr>
          <w:b w:val="0"/>
          <w:sz w:val="22"/>
        </w:rPr>
        <w:t>(b) At xiphoid process</w:t>
      </w:r>
    </w:p>
    <w:p>
      <w:pPr>
        <w:spacing w:after="0" w:before="0"/>
      </w:pPr>
      <w:r>
        <w:rPr>
          <w:b w:val="0"/>
          <w:sz w:val="22"/>
        </w:rPr>
        <w:t>(c) Above umbilicus</w:t>
      </w:r>
    </w:p>
    <w:p>
      <w:pPr>
        <w:spacing w:after="0" w:before="0"/>
      </w:pPr>
      <w:r>
        <w:rPr>
          <w:b w:val="0"/>
          <w:sz w:val="22"/>
        </w:rPr>
        <w:t>(d) Midway between symphysis pubis and umbilicus (or at level of umbilicus)</w:t>
      </w:r>
    </w:p>
    <w:p>
      <w:pPr>
        <w:spacing w:after="0" w:before="40"/>
      </w:pPr>
      <w:r>
        <w:rPr>
          <w:b/>
          <w:sz w:val="22"/>
        </w:rPr>
        <w:t>Answer: d</w:t>
      </w:r>
    </w:p>
    <w:p>
      <w:pPr>
        <w:spacing w:after="0" w:before="0"/>
      </w:pPr>
      <w:r>
        <w:rPr>
          <w:b w:val="0"/>
          <w:sz w:val="21"/>
        </w:rPr>
        <w:t>Solution: Immediately after placental delivery, the firmly contracted uterine fundus is palpated at or 1-2 cm below the level of the umbilicus.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trimester wise weight gain in pregnancy?</w:t>
      </w:r>
    </w:p>
    <w:p>
      <w:pPr>
        <w:spacing w:after="0" w:before="0"/>
      </w:pPr>
      <w:r>
        <w:rPr>
          <w:b w:val="0"/>
          <w:sz w:val="22"/>
        </w:rPr>
        <w:t>(a) 1, 5, 2 kg</w:t>
      </w:r>
    </w:p>
    <w:p>
      <w:pPr>
        <w:spacing w:after="0" w:before="0"/>
      </w:pPr>
      <w:r>
        <w:rPr>
          <w:b w:val="0"/>
          <w:sz w:val="22"/>
        </w:rPr>
        <w:t>(b) 5, 5, 5 kg</w:t>
      </w:r>
    </w:p>
    <w:p>
      <w:pPr>
        <w:spacing w:after="0" w:before="0"/>
      </w:pPr>
      <w:r>
        <w:rPr>
          <w:b w:val="0"/>
          <w:sz w:val="22"/>
        </w:rPr>
        <w:t>(c) 5, 2, 5 kg</w:t>
      </w:r>
    </w:p>
    <w:p>
      <w:pPr>
        <w:spacing w:after="0" w:before="0"/>
      </w:pPr>
      <w:r>
        <w:rPr>
          <w:b w:val="0"/>
          <w:sz w:val="22"/>
        </w:rPr>
        <w:t>(d) 1, 5, 5 kg</w:t>
      </w:r>
    </w:p>
    <w:p>
      <w:pPr>
        <w:spacing w:after="0" w:before="40"/>
      </w:pPr>
      <w:r>
        <w:rPr>
          <w:b/>
          <w:sz w:val="22"/>
        </w:rPr>
        <w:t>Answer: d</w:t>
      </w:r>
    </w:p>
    <w:p>
      <w:pPr>
        <w:spacing w:after="0" w:before="0"/>
      </w:pPr>
      <w:r>
        <w:rPr>
          <w:b w:val="0"/>
          <w:sz w:val="21"/>
        </w:rPr>
        <w:t>Solution: Trimester-wise weight gain in pregnancy is approximately 1 kg (1st), 5 kg (2nd) and 5 kg (3rd) - about 11 kg total.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mother calls the emergency room (ER) frantically reporting that her 3-year-old girl child has found eating pills out of a bottle in the medicine cabinet. Which action should the emergency room nurse suggest to the mother?</w:t>
      </w:r>
    </w:p>
    <w:p>
      <w:pPr>
        <w:spacing w:after="0" w:before="0"/>
      </w:pPr>
      <w:r>
        <w:rPr>
          <w:b w:val="0"/>
          <w:sz w:val="22"/>
        </w:rPr>
        <w:t>(a) Give the child 15 ml of syrup of ipecac immediately</w:t>
      </w:r>
    </w:p>
    <w:p>
      <w:pPr>
        <w:spacing w:after="0" w:before="0"/>
      </w:pPr>
      <w:r>
        <w:rPr>
          <w:b w:val="0"/>
          <w:sz w:val="22"/>
        </w:rPr>
        <w:t>(b) Give the child 10 ml of syrup of ipecac with a sip of water</w:t>
      </w:r>
    </w:p>
    <w:p>
      <w:pPr>
        <w:spacing w:after="0" w:before="0"/>
      </w:pPr>
      <w:r>
        <w:rPr>
          <w:b w:val="0"/>
          <w:sz w:val="22"/>
        </w:rPr>
        <w:t>(c) Give the child 1 cup of water to induce vomiting</w:t>
      </w:r>
    </w:p>
    <w:p>
      <w:pPr>
        <w:spacing w:after="0" w:before="0"/>
      </w:pPr>
      <w:r>
        <w:rPr>
          <w:b w:val="0"/>
          <w:sz w:val="22"/>
        </w:rPr>
        <w:t>(d) Bring the child to the emergency department immediately</w:t>
      </w:r>
    </w:p>
    <w:p>
      <w:pPr>
        <w:spacing w:after="0" w:before="40"/>
      </w:pPr>
      <w:r>
        <w:rPr>
          <w:b/>
          <w:sz w:val="22"/>
        </w:rPr>
        <w:t>Answer: d</w:t>
      </w:r>
    </w:p>
    <w:p>
      <w:pPr>
        <w:spacing w:after="0" w:before="0"/>
      </w:pPr>
      <w:r>
        <w:rPr>
          <w:b w:val="0"/>
          <w:sz w:val="21"/>
        </w:rPr>
        <w:t>Solution: According to the American Academy of Pediatrics, syrup of ipecac is no longer recommended for the routine management of pediatric poisoning. It is associated with vomiting, which can be dangerous, especially in cases of hydrocarbon or caustic substance ingestion. The first priority is to assess the child's level of consciousness, breathing, and vital signs. The nurse should instruct the mother to bring the child to the emergency department immediately. If the child is conscious, the nurse should instruct the mother to try to identify the medication and the amount the child ingested. This information will be crucial in determining the appropriate treatment for the child.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should give the first dose of oxygen to a patient with chest pain at:</w:t>
      </w:r>
    </w:p>
    <w:p>
      <w:pPr>
        <w:spacing w:after="0" w:before="0"/>
      </w:pPr>
      <w:r>
        <w:rPr>
          <w:b w:val="0"/>
          <w:sz w:val="22"/>
        </w:rPr>
        <w:t>(a) 10-15 L/min</w:t>
      </w:r>
    </w:p>
    <w:p>
      <w:pPr>
        <w:spacing w:after="0" w:before="0"/>
      </w:pPr>
      <w:r>
        <w:rPr>
          <w:b w:val="0"/>
          <w:sz w:val="22"/>
        </w:rPr>
        <w:t>(b) 1-2 L/min</w:t>
      </w:r>
    </w:p>
    <w:p>
      <w:pPr>
        <w:spacing w:after="0" w:before="0"/>
      </w:pPr>
      <w:r>
        <w:rPr>
          <w:b w:val="0"/>
          <w:sz w:val="22"/>
        </w:rPr>
        <w:t>(c) 4-6 L/min</w:t>
      </w:r>
    </w:p>
    <w:p>
      <w:pPr>
        <w:spacing w:after="0" w:before="0"/>
      </w:pPr>
      <w:r>
        <w:rPr>
          <w:b w:val="0"/>
          <w:sz w:val="22"/>
        </w:rPr>
        <w:t>(d) No oxygen</w:t>
      </w:r>
    </w:p>
    <w:p>
      <w:pPr>
        <w:spacing w:after="0" w:before="40"/>
      </w:pPr>
      <w:r>
        <w:rPr>
          <w:b/>
          <w:sz w:val="22"/>
        </w:rPr>
        <w:t>Answer: c</w:t>
      </w:r>
    </w:p>
    <w:p>
      <w:pPr>
        <w:spacing w:after="0" w:before="0"/>
      </w:pPr>
      <w:r>
        <w:rPr>
          <w:b w:val="0"/>
          <w:sz w:val="21"/>
        </w:rPr>
        <w:t>Solution: In acute coronary syndrome, oxygen is given at 4-6 L/min if SpO2 is low or the patient is distressed.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Postpartum haemorrhage is defined as blood loss of more than:</w:t>
      </w:r>
    </w:p>
    <w:p>
      <w:pPr>
        <w:spacing w:after="0" w:before="0"/>
      </w:pPr>
      <w:r>
        <w:rPr>
          <w:b w:val="0"/>
          <w:sz w:val="22"/>
        </w:rPr>
        <w:t>(a) 750 ml</w:t>
      </w:r>
    </w:p>
    <w:p>
      <w:pPr>
        <w:spacing w:after="0" w:before="0"/>
      </w:pPr>
      <w:r>
        <w:rPr>
          <w:b w:val="0"/>
          <w:sz w:val="22"/>
        </w:rPr>
        <w:t>(b) 1000 ml</w:t>
      </w:r>
    </w:p>
    <w:p>
      <w:pPr>
        <w:spacing w:after="0" w:before="0"/>
      </w:pPr>
      <w:r>
        <w:rPr>
          <w:b w:val="0"/>
          <w:sz w:val="22"/>
        </w:rPr>
        <w:t>(c) 500 ml</w:t>
      </w:r>
    </w:p>
    <w:p>
      <w:pPr>
        <w:spacing w:after="0" w:before="0"/>
      </w:pPr>
      <w:r>
        <w:rPr>
          <w:b w:val="0"/>
          <w:sz w:val="22"/>
        </w:rPr>
        <w:t>(d) 250 ml</w:t>
      </w:r>
    </w:p>
    <w:p>
      <w:pPr>
        <w:spacing w:after="0" w:before="40"/>
      </w:pPr>
      <w:r>
        <w:rPr>
          <w:b/>
          <w:sz w:val="22"/>
        </w:rPr>
        <w:t>Answer: c</w:t>
      </w:r>
    </w:p>
    <w:p>
      <w:pPr>
        <w:spacing w:after="0" w:before="0"/>
      </w:pPr>
      <w:r>
        <w:rPr>
          <w:b w:val="0"/>
          <w:sz w:val="21"/>
        </w:rPr>
        <w:t>Solution: PPH is blood loss exceeding 500 ml after vaginal delivery (or 1000 ml after cesarean section).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receiving IV fluids for dehydration becomes restless; the IV catheter has slipped out of the vein and the fluid is leaking into the surrounding tissues, causing swelling. Which term best describes this occurrence?</w:t>
      </w:r>
    </w:p>
    <w:p>
      <w:pPr>
        <w:spacing w:after="0" w:before="0"/>
      </w:pPr>
      <w:r>
        <w:rPr>
          <w:b w:val="0"/>
          <w:sz w:val="22"/>
        </w:rPr>
        <w:t>(a) Infiltration</w:t>
      </w:r>
    </w:p>
    <w:p>
      <w:pPr>
        <w:spacing w:after="0" w:before="0"/>
      </w:pPr>
      <w:r>
        <w:rPr>
          <w:b w:val="0"/>
          <w:sz w:val="22"/>
        </w:rPr>
        <w:t>(b) Fluid overload</w:t>
      </w:r>
    </w:p>
    <w:p>
      <w:pPr>
        <w:spacing w:after="0" w:before="0"/>
      </w:pPr>
      <w:r>
        <w:rPr>
          <w:b w:val="0"/>
          <w:sz w:val="22"/>
        </w:rPr>
        <w:t>(c) Extravasation</w:t>
      </w:r>
    </w:p>
    <w:p>
      <w:pPr>
        <w:spacing w:after="0" w:before="0"/>
      </w:pPr>
      <w:r>
        <w:rPr>
          <w:b w:val="0"/>
          <w:sz w:val="22"/>
        </w:rPr>
        <w:t>(d) Infection</w:t>
      </w:r>
    </w:p>
    <w:p>
      <w:pPr>
        <w:spacing w:after="0" w:before="40"/>
      </w:pPr>
      <w:r>
        <w:rPr>
          <w:b/>
          <w:sz w:val="22"/>
        </w:rPr>
        <w:t>Answer: a</w:t>
      </w:r>
    </w:p>
    <w:p>
      <w:pPr>
        <w:spacing w:after="0" w:before="0"/>
      </w:pPr>
      <w:r>
        <w:rPr>
          <w:b w:val="0"/>
          <w:sz w:val="21"/>
        </w:rPr>
        <w:t>Solution: Swelling, coolness and continued pain at the IV site with infusion despite restlessness indicate infiltration of the cannula.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taking antipsychotic medications exhibits motor restlessness, pacing, and inability to sit still. This extrapyramidal side effect is</w:t>
      </w:r>
    </w:p>
    <w:p>
      <w:pPr>
        <w:spacing w:after="0" w:before="0"/>
      </w:pPr>
      <w:r>
        <w:rPr>
          <w:b w:val="0"/>
          <w:sz w:val="22"/>
        </w:rPr>
        <w:t>(a) Akathisia</w:t>
      </w:r>
    </w:p>
    <w:p>
      <w:pPr>
        <w:spacing w:after="0" w:before="0"/>
      </w:pPr>
      <w:r>
        <w:rPr>
          <w:b w:val="0"/>
          <w:sz w:val="22"/>
        </w:rPr>
        <w:t>(b) Tardive dyskinesia</w:t>
      </w:r>
    </w:p>
    <w:p>
      <w:pPr>
        <w:spacing w:after="0" w:before="0"/>
      </w:pPr>
      <w:r>
        <w:rPr>
          <w:b w:val="0"/>
          <w:sz w:val="22"/>
        </w:rPr>
        <w:t>(c) Dystonia</w:t>
      </w:r>
    </w:p>
    <w:p>
      <w:pPr>
        <w:spacing w:after="0" w:before="0"/>
      </w:pPr>
      <w:r>
        <w:rPr>
          <w:b w:val="0"/>
          <w:sz w:val="22"/>
        </w:rPr>
        <w:t>(d) Neuroleptic malignant syndrome</w:t>
      </w:r>
    </w:p>
    <w:p>
      <w:pPr>
        <w:spacing w:after="0" w:before="40"/>
      </w:pPr>
      <w:r>
        <w:rPr>
          <w:b/>
          <w:sz w:val="22"/>
        </w:rPr>
        <w:t>Answer: a</w:t>
      </w:r>
    </w:p>
    <w:p>
      <w:pPr>
        <w:spacing w:after="0" w:before="0"/>
      </w:pPr>
      <w:r>
        <w:rPr>
          <w:b w:val="0"/>
          <w:sz w:val="21"/>
        </w:rPr>
        <w:t>Solution: Akathisia is a distressing EPS characterized by subjective feelings of inner restlessness and objective motor restlessness (pacing, fidgeting).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following skin disease characterized by honey-like crusts around the mouth in a baby:</w:t>
      </w:r>
    </w:p>
    <w:p>
      <w:pPr>
        <w:spacing w:after="0" w:before="0"/>
      </w:pPr>
      <w:r>
        <w:rPr>
          <w:b w:val="0"/>
          <w:sz w:val="22"/>
        </w:rPr>
        <w:t>(a) Food Poisoning</w:t>
      </w:r>
    </w:p>
    <w:p>
      <w:pPr>
        <w:spacing w:after="0" w:before="0"/>
      </w:pPr>
      <w:r>
        <w:rPr>
          <w:b w:val="0"/>
          <w:sz w:val="22"/>
        </w:rPr>
        <w:t>(b) Atopic dermatitis</w:t>
      </w:r>
    </w:p>
    <w:p>
      <w:pPr>
        <w:spacing w:after="0" w:before="0"/>
      </w:pPr>
      <w:r>
        <w:rPr>
          <w:b w:val="0"/>
          <w:sz w:val="22"/>
        </w:rPr>
        <w:t>(c) Impetigo</w:t>
      </w:r>
    </w:p>
    <w:p>
      <w:pPr>
        <w:spacing w:after="0" w:before="0"/>
      </w:pPr>
      <w:r>
        <w:rPr>
          <w:b w:val="0"/>
          <w:sz w:val="22"/>
        </w:rPr>
        <w:t>(d) Scabies</w:t>
      </w:r>
    </w:p>
    <w:p>
      <w:pPr>
        <w:spacing w:after="0" w:before="40"/>
      </w:pPr>
      <w:r>
        <w:rPr>
          <w:b/>
          <w:sz w:val="22"/>
        </w:rPr>
        <w:t>Answer: c</w:t>
      </w:r>
    </w:p>
    <w:p>
      <w:pPr>
        <w:spacing w:after="0" w:before="0"/>
      </w:pPr>
      <w:r>
        <w:rPr>
          <w:b w:val="0"/>
          <w:sz w:val="21"/>
        </w:rPr>
        <w:t>Solution: The skin disease characterized by honey-like crusts around the mouth in a baby is impetigo. Impetigo is a common bacterial skin infection caused by Staphylococcus aureus or Streptococcus pyogenes. It is highly contagious and typically affects children. The honey-like crusts form as a result of the infection and can occur around the mouth, as well as on other areas of the body. Prompt treatment with appropriate antibiotics is essential to prevent the spread of the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assessment finding is the EARLIEST indicator of compartment syndrome in a client with a fractured tibia?</w:t>
      </w:r>
    </w:p>
    <w:p>
      <w:pPr>
        <w:spacing w:after="0" w:before="0"/>
      </w:pPr>
      <w:r>
        <w:rPr>
          <w:b w:val="0"/>
          <w:sz w:val="22"/>
        </w:rPr>
        <w:t>(a) Absent pedal pulse</w:t>
      </w:r>
    </w:p>
    <w:p>
      <w:pPr>
        <w:spacing w:after="0" w:before="0"/>
      </w:pPr>
      <w:r>
        <w:rPr>
          <w:b w:val="0"/>
          <w:sz w:val="22"/>
        </w:rPr>
        <w:t>(b) Capillary refill of 5 seconds</w:t>
      </w:r>
    </w:p>
    <w:p>
      <w:pPr>
        <w:spacing w:after="0" w:before="0"/>
      </w:pPr>
      <w:r>
        <w:rPr>
          <w:b w:val="0"/>
          <w:sz w:val="22"/>
        </w:rPr>
        <w:t>(c) Cool, cyanotic toes</w:t>
      </w:r>
    </w:p>
    <w:p>
      <w:pPr>
        <w:spacing w:after="0" w:before="0"/>
      </w:pPr>
      <w:r>
        <w:rPr>
          <w:b w:val="0"/>
          <w:sz w:val="22"/>
        </w:rPr>
        <w:t>(d) Pain out of proportion that increases with passive stretch</w:t>
      </w:r>
    </w:p>
    <w:p>
      <w:pPr>
        <w:spacing w:after="0" w:before="40"/>
      </w:pPr>
      <w:r>
        <w:rPr>
          <w:b/>
          <w:sz w:val="22"/>
        </w:rPr>
        <w:t>Answer: d</w:t>
      </w:r>
    </w:p>
    <w:p>
      <w:pPr>
        <w:spacing w:after="0" w:before="0"/>
      </w:pPr>
      <w:r>
        <w:rPr>
          <w:b w:val="0"/>
          <w:sz w:val="21"/>
        </w:rPr>
        <w:t>Solution: Severe pain worsened by passive stretching is the earliest sign of compartment syndrome; pallor and absent pulses are late findings that appear after irreversible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Immediately after delivery the nurse notes profuse vaginal bleeding and a soft, boggy uterus. What is the priority action?</w:t>
      </w:r>
    </w:p>
    <w:p>
      <w:pPr>
        <w:spacing w:after="0" w:before="0"/>
      </w:pPr>
      <w:r>
        <w:rPr>
          <w:b w:val="0"/>
          <w:sz w:val="22"/>
        </w:rPr>
        <w:t>(a) Place the client in Trendelenburg position</w:t>
      </w:r>
    </w:p>
    <w:p>
      <w:pPr>
        <w:spacing w:after="0" w:before="0"/>
      </w:pPr>
      <w:r>
        <w:rPr>
          <w:b w:val="0"/>
          <w:sz w:val="22"/>
        </w:rPr>
        <w:t>(b) Notify the health care provider</w:t>
      </w:r>
    </w:p>
    <w:p>
      <w:pPr>
        <w:spacing w:after="0" w:before="0"/>
      </w:pPr>
      <w:r>
        <w:rPr>
          <w:b w:val="0"/>
          <w:sz w:val="22"/>
        </w:rPr>
        <w:t>(c) Massage the uterine fundus</w:t>
      </w:r>
    </w:p>
    <w:p>
      <w:pPr>
        <w:spacing w:after="0" w:before="0"/>
      </w:pPr>
      <w:r>
        <w:rPr>
          <w:b w:val="0"/>
          <w:sz w:val="22"/>
        </w:rPr>
        <w:t>(d) Insert a Foley catheter</w:t>
      </w:r>
    </w:p>
    <w:p>
      <w:pPr>
        <w:spacing w:after="0" w:before="40"/>
      </w:pPr>
      <w:r>
        <w:rPr>
          <w:b/>
          <w:sz w:val="22"/>
        </w:rPr>
        <w:t>Answer: c</w:t>
      </w:r>
    </w:p>
    <w:p>
      <w:pPr>
        <w:spacing w:after="0" w:before="0"/>
      </w:pPr>
      <w:r>
        <w:rPr>
          <w:b w:val="0"/>
          <w:sz w:val="21"/>
        </w:rPr>
        <w:t>Solution: Uterine atony is the commonest cause of postpartum hemorrhage; firm fundal massage stimulates contraction, and oxytocin is then given while help is called.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Feel burning sensation under the tongue</w:t>
      </w:r>
    </w:p>
    <w:p>
      <w:pPr>
        <w:spacing w:after="0" w:before="0"/>
      </w:pPr>
      <w:r>
        <w:rPr>
          <w:b w:val="0"/>
          <w:sz w:val="22"/>
        </w:rPr>
        <w:t>(b) Medicine given in dark room</w:t>
      </w:r>
    </w:p>
    <w:p>
      <w:pPr>
        <w:spacing w:after="0" w:before="0"/>
      </w:pPr>
      <w:r>
        <w:rPr>
          <w:b w:val="0"/>
          <w:sz w:val="22"/>
        </w:rPr>
        <w:t>(c) Feel mouth Itching</w:t>
      </w:r>
    </w:p>
    <w:p>
      <w:pPr>
        <w:spacing w:after="0" w:before="0"/>
      </w:pPr>
      <w:r>
        <w:rPr>
          <w:b w:val="0"/>
          <w:sz w:val="22"/>
        </w:rPr>
        <w:t>(d) Feel blurred vision</w:t>
      </w:r>
    </w:p>
    <w:p>
      <w:pPr>
        <w:spacing w:after="0" w:before="40"/>
      </w:pPr>
      <w:r>
        <w:rPr>
          <w:b/>
          <w:sz w:val="22"/>
        </w:rPr>
        <w:t>Answer: a</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