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Bone marrow aspiration in children</w:t>
      </w:r>
    </w:p>
    <w:p>
      <w:pPr>
        <w:spacing w:after="0" w:before="0"/>
      </w:pPr>
      <w:r>
        <w:rPr>
          <w:b w:val="0"/>
          <w:sz w:val="22"/>
        </w:rPr>
        <w:t>(a) Ribs</w:t>
      </w:r>
    </w:p>
    <w:p>
      <w:pPr>
        <w:spacing w:after="0" w:before="0"/>
      </w:pPr>
      <w:r>
        <w:rPr>
          <w:b w:val="0"/>
          <w:sz w:val="22"/>
        </w:rPr>
        <w:t>(b) Proximal tibia</w:t>
      </w:r>
    </w:p>
    <w:p>
      <w:pPr>
        <w:spacing w:after="0" w:before="0"/>
      </w:pPr>
      <w:r>
        <w:rPr>
          <w:b w:val="0"/>
          <w:sz w:val="22"/>
        </w:rPr>
        <w:t>(c) Posterior Superior iliac crest</w:t>
      </w:r>
    </w:p>
    <w:p>
      <w:pPr>
        <w:spacing w:after="0" w:before="0"/>
      </w:pPr>
      <w:r>
        <w:rPr>
          <w:b w:val="0"/>
          <w:sz w:val="22"/>
        </w:rPr>
        <w:t>(d) Sternum</w:t>
      </w:r>
    </w:p>
    <w:p>
      <w:pPr>
        <w:spacing w:after="0" w:before="40"/>
      </w:pPr>
      <w:r>
        <w:rPr>
          <w:b/>
          <w:sz w:val="22"/>
        </w:rPr>
        <w:t>Answer: c</w:t>
      </w:r>
    </w:p>
    <w:p>
      <w:pPr>
        <w:spacing w:after="0" w:before="0"/>
      </w:pPr>
      <w:r>
        <w:rPr>
          <w:b w:val="0"/>
          <w:sz w:val="21"/>
        </w:rPr>
        <w:t>Solution: Bone marrow aspiration in children is preferably done from the posterior superior iliac crest (sternum is avoided in children).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does DPT stand for?</w:t>
      </w:r>
    </w:p>
    <w:p>
      <w:pPr>
        <w:spacing w:after="0" w:before="0"/>
      </w:pPr>
      <w:r>
        <w:rPr>
          <w:b w:val="0"/>
          <w:sz w:val="22"/>
        </w:rPr>
        <w:t>(a) Diphtheria, pertussis, TB</w:t>
      </w:r>
    </w:p>
    <w:p>
      <w:pPr>
        <w:spacing w:after="0" w:before="0"/>
      </w:pPr>
      <w:r>
        <w:rPr>
          <w:b w:val="0"/>
          <w:sz w:val="22"/>
        </w:rPr>
        <w:t>(b) Diphtheria, pertussis, tetanus</w:t>
      </w:r>
    </w:p>
    <w:p>
      <w:pPr>
        <w:spacing w:after="0" w:before="0"/>
      </w:pPr>
      <w:r>
        <w:rPr>
          <w:b w:val="0"/>
          <w:sz w:val="22"/>
        </w:rPr>
        <w:t>(c) Diphtheria, polio, tetanus</w:t>
      </w:r>
    </w:p>
    <w:p>
      <w:pPr>
        <w:spacing w:after="0" w:before="0"/>
      </w:pPr>
      <w:r>
        <w:rPr>
          <w:b w:val="0"/>
          <w:sz w:val="22"/>
        </w:rPr>
        <w:t>(d) Diphtheria, pertussis, tetany</w:t>
      </w:r>
    </w:p>
    <w:p>
      <w:pPr>
        <w:spacing w:after="0" w:before="40"/>
      </w:pPr>
      <w:r>
        <w:rPr>
          <w:b/>
          <w:sz w:val="22"/>
        </w:rPr>
        <w:t>Answer: b</w:t>
      </w:r>
    </w:p>
    <w:p>
      <w:pPr>
        <w:spacing w:after="0" w:before="0"/>
      </w:pPr>
      <w:r>
        <w:rPr>
          <w:b w:val="0"/>
          <w:sz w:val="21"/>
        </w:rPr>
        <w:t>Solution: DPT stands for diphtheria, pertussis, tetanus (option a). DPT refers to a combination vaccine that protects against these three diseases. Diphtheria is a bacterial infection that can cause severe respiratory symptoms and complications. Pertussis, also known as whooping cough, is a highly contagious respiratory infection. Tetanus, commonly referred to as lockjaw, is a potentially fatal bacterial infection that affects the muscles and nerves. The DPT vaccine is administered in multiple doses to provide immunity against these diseases, particularly in childhood. It is an essential component of routine immunization programs worldwide.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cut-off range of axillary temperature for hypothermia in children?</w:t>
      </w:r>
    </w:p>
    <w:p>
      <w:pPr>
        <w:spacing w:after="0" w:before="0"/>
      </w:pPr>
      <w:r>
        <w:rPr>
          <w:b w:val="0"/>
          <w:sz w:val="22"/>
        </w:rPr>
        <w:t>(a) 35.0°C</w:t>
      </w:r>
    </w:p>
    <w:p>
      <w:pPr>
        <w:spacing w:after="0" w:before="0"/>
      </w:pPr>
      <w:r>
        <w:rPr>
          <w:b w:val="0"/>
          <w:sz w:val="22"/>
        </w:rPr>
        <w:t>(b) 37.0°C</w:t>
      </w:r>
    </w:p>
    <w:p>
      <w:pPr>
        <w:spacing w:after="0" w:before="0"/>
      </w:pPr>
      <w:r>
        <w:rPr>
          <w:b w:val="0"/>
          <w:sz w:val="22"/>
        </w:rPr>
        <w:t>(c) 36.5°C</w:t>
      </w:r>
    </w:p>
    <w:p>
      <w:pPr>
        <w:spacing w:after="0" w:before="0"/>
      </w:pPr>
      <w:r>
        <w:rPr>
          <w:b w:val="0"/>
          <w:sz w:val="22"/>
        </w:rPr>
        <w:t>(d) 36.0°C</w:t>
      </w:r>
    </w:p>
    <w:p>
      <w:pPr>
        <w:spacing w:after="0" w:before="40"/>
      </w:pPr>
      <w:r>
        <w:rPr>
          <w:b/>
          <w:sz w:val="22"/>
        </w:rPr>
        <w:t>Answer: c</w:t>
      </w:r>
    </w:p>
    <w:p>
      <w:pPr>
        <w:spacing w:after="0" w:before="0"/>
      </w:pPr>
      <w:r>
        <w:rPr>
          <w:b w:val="0"/>
          <w:sz w:val="21"/>
        </w:rPr>
        <w:t>Solution: Hypothermia in children is defined as an axillary temperature below 36.5°C; a temperature below 35°C indicates severe hypothermia.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VP (Ventriculoperitoneal) shunt surgery in an infant with hydrocephalus, how does the nurse assess for increased ICP?</w:t>
      </w:r>
    </w:p>
    <w:p>
      <w:pPr>
        <w:spacing w:after="0" w:before="0"/>
      </w:pPr>
      <w:r>
        <w:rPr>
          <w:b w:val="0"/>
          <w:sz w:val="22"/>
        </w:rPr>
        <w:t>(a) Assess respiratory rate</w:t>
      </w:r>
    </w:p>
    <w:p>
      <w:pPr>
        <w:spacing w:after="0" w:before="0"/>
      </w:pPr>
      <w:r>
        <w:rPr>
          <w:b w:val="0"/>
          <w:sz w:val="22"/>
        </w:rPr>
        <w:t>(b) Measure blood pressure</w:t>
      </w:r>
    </w:p>
    <w:p>
      <w:pPr>
        <w:spacing w:after="0" w:before="0"/>
      </w:pPr>
      <w:r>
        <w:rPr>
          <w:b w:val="0"/>
          <w:sz w:val="22"/>
        </w:rPr>
        <w:t>(c) Palpate anterior fontanelle for fullness/bulging</w:t>
      </w:r>
    </w:p>
    <w:p>
      <w:pPr>
        <w:spacing w:after="0" w:before="0"/>
      </w:pPr>
      <w:r>
        <w:rPr>
          <w:b w:val="0"/>
          <w:sz w:val="22"/>
        </w:rPr>
        <w:t>(d) Check urine output</w:t>
      </w:r>
    </w:p>
    <w:p>
      <w:pPr>
        <w:spacing w:after="0" w:before="40"/>
      </w:pPr>
      <w:r>
        <w:rPr>
          <w:b/>
          <w:sz w:val="22"/>
        </w:rPr>
        <w:t>Answer: c</w:t>
      </w:r>
    </w:p>
    <w:p>
      <w:pPr>
        <w:spacing w:after="0" w:before="0"/>
      </w:pPr>
      <w:r>
        <w:rPr>
          <w:b w:val="0"/>
          <w:sz w:val="21"/>
        </w:rPr>
        <w:t>Solution: In infants, a tense, bulging anterior fontanelle is the primary physical sign of elevated intracranial pressure (ICP).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route is preferred for the second dose of DPT (Diphtheria, Pertussis, Tetanus) vaccine?</w:t>
      </w:r>
    </w:p>
    <w:p>
      <w:pPr>
        <w:spacing w:after="0" w:before="0"/>
      </w:pPr>
      <w:r>
        <w:rPr>
          <w:b w:val="0"/>
          <w:sz w:val="22"/>
        </w:rPr>
        <w:t>(a) Gluteal</w:t>
      </w:r>
    </w:p>
    <w:p>
      <w:pPr>
        <w:spacing w:after="0" w:before="0"/>
      </w:pPr>
      <w:r>
        <w:rPr>
          <w:b w:val="0"/>
          <w:sz w:val="22"/>
        </w:rPr>
        <w:t>(b) Deltoid</w:t>
      </w:r>
    </w:p>
    <w:p>
      <w:pPr>
        <w:spacing w:after="0" w:before="0"/>
      </w:pPr>
      <w:r>
        <w:rPr>
          <w:b w:val="0"/>
          <w:sz w:val="22"/>
        </w:rPr>
        <w:t>(c) Vastus lateralis</w:t>
      </w:r>
    </w:p>
    <w:p>
      <w:pPr>
        <w:spacing w:after="0" w:before="0"/>
      </w:pPr>
      <w:r>
        <w:rPr>
          <w:b w:val="0"/>
          <w:sz w:val="22"/>
        </w:rPr>
        <w:t>(d) Lateralis femoris</w:t>
      </w:r>
    </w:p>
    <w:p>
      <w:pPr>
        <w:spacing w:after="0" w:before="40"/>
      </w:pPr>
      <w:r>
        <w:rPr>
          <w:b/>
          <w:sz w:val="22"/>
        </w:rPr>
        <w:t>Answer: c</w:t>
      </w:r>
    </w:p>
    <w:p>
      <w:pPr>
        <w:spacing w:after="0" w:before="0"/>
      </w:pPr>
      <w:r>
        <w:rPr>
          <w:b w:val="0"/>
          <w:sz w:val="21"/>
        </w:rPr>
        <w:t>Solution: The preferred route for the second dose of the DPT (Diphtheria, Pertussis, Tetanus) vaccine is the vastus lateralis muscle (option a). The vastus lateralis is one of the recommended sites for administering vaccines in infants and young children. It is located on the anterolateral aspect of the thigh and provides a suitable target for intramuscular injections. The DPT vaccine is typically given as a series of doses to provide immunity against diphtheria, pertussis (whooping cough), and tetanus. Ensuring proper injection technique, including appropriate site selection, is important for optimizing vaccine delivery and minimizing potential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room temperature should be maintained during the period of phototherapy?</w:t>
      </w:r>
    </w:p>
    <w:p>
      <w:pPr>
        <w:spacing w:after="0" w:before="0"/>
      </w:pPr>
      <w:r>
        <w:rPr>
          <w:b w:val="0"/>
          <w:sz w:val="22"/>
        </w:rPr>
        <w:t>(a) 28-30°C</w:t>
      </w:r>
    </w:p>
    <w:p>
      <w:pPr>
        <w:spacing w:after="0" w:before="0"/>
      </w:pPr>
      <w:r>
        <w:rPr>
          <w:b w:val="0"/>
          <w:sz w:val="22"/>
        </w:rPr>
        <w:t>(b) 26-28°C</w:t>
      </w:r>
    </w:p>
    <w:p>
      <w:pPr>
        <w:spacing w:after="0" w:before="0"/>
      </w:pPr>
      <w:r>
        <w:rPr>
          <w:b w:val="0"/>
          <w:sz w:val="22"/>
        </w:rPr>
        <w:t>(c) 30-32°C</w:t>
      </w:r>
    </w:p>
    <w:p>
      <w:pPr>
        <w:spacing w:after="0" w:before="0"/>
      </w:pPr>
      <w:r>
        <w:rPr>
          <w:b w:val="0"/>
          <w:sz w:val="22"/>
        </w:rPr>
        <w:t>(d) 24-26°C</w:t>
      </w:r>
    </w:p>
    <w:p>
      <w:pPr>
        <w:spacing w:after="0" w:before="40"/>
      </w:pPr>
      <w:r>
        <w:rPr>
          <w:b/>
          <w:sz w:val="22"/>
        </w:rPr>
        <w:t>Answer: a</w:t>
      </w:r>
    </w:p>
    <w:p>
      <w:pPr>
        <w:spacing w:after="0" w:before="0"/>
      </w:pPr>
      <w:r>
        <w:rPr>
          <w:b w:val="0"/>
          <w:sz w:val="21"/>
        </w:rPr>
        <w:t>Solution: A room temperature of 28-30°C is maintained during phototherapy to prevent hypothermia in the neonate.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Call senior nurse</w:t>
      </w:r>
    </w:p>
    <w:p>
      <w:pPr>
        <w:spacing w:after="0" w:before="0"/>
      </w:pPr>
      <w:r>
        <w:rPr>
          <w:b w:val="0"/>
          <w:sz w:val="22"/>
        </w:rPr>
        <w:t>(b) Immediately remove suction catheter</w:t>
      </w:r>
    </w:p>
    <w:p>
      <w:pPr>
        <w:spacing w:after="0" w:before="0"/>
      </w:pPr>
      <w:r>
        <w:rPr>
          <w:b w:val="0"/>
          <w:sz w:val="22"/>
        </w:rPr>
        <w:t>(c) Call doctor immediately</w:t>
      </w:r>
    </w:p>
    <w:p>
      <w:pPr>
        <w:spacing w:after="0" w:before="0"/>
      </w:pPr>
      <w:r>
        <w:rPr>
          <w:b w:val="0"/>
          <w:sz w:val="22"/>
        </w:rPr>
        <w:t>(d) Suction rapidly in 5 sec and remove the catheter</w:t>
      </w:r>
    </w:p>
    <w:p>
      <w:pPr>
        <w:spacing w:after="0" w:before="40"/>
      </w:pPr>
      <w:r>
        <w:rPr>
          <w:b/>
          <w:sz w:val="22"/>
        </w:rPr>
        <w:t>Answer: b</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an X-linked recessive disorder?</w:t>
      </w:r>
    </w:p>
    <w:p>
      <w:pPr>
        <w:spacing w:after="0" w:before="0"/>
      </w:pPr>
      <w:r>
        <w:rPr>
          <w:b w:val="0"/>
          <w:sz w:val="22"/>
        </w:rPr>
        <w:t>(a) Haemophilia A</w:t>
      </w:r>
    </w:p>
    <w:p>
      <w:pPr>
        <w:spacing w:after="0" w:before="0"/>
      </w:pPr>
      <w:r>
        <w:rPr>
          <w:b w:val="0"/>
          <w:sz w:val="22"/>
        </w:rPr>
        <w:t>(b) Osteogenesis imperfecta</w:t>
      </w:r>
    </w:p>
    <w:p>
      <w:pPr>
        <w:spacing w:after="0" w:before="0"/>
      </w:pPr>
      <w:r>
        <w:rPr>
          <w:b w:val="0"/>
          <w:sz w:val="22"/>
        </w:rPr>
        <w:t>(c) Marfan syndrome</w:t>
      </w:r>
    </w:p>
    <w:p>
      <w:pPr>
        <w:spacing w:after="0" w:before="0"/>
      </w:pPr>
      <w:r>
        <w:rPr>
          <w:b w:val="0"/>
          <w:sz w:val="22"/>
        </w:rPr>
        <w:t>(d) Huntington's disease</w:t>
      </w:r>
    </w:p>
    <w:p>
      <w:pPr>
        <w:spacing w:after="0" w:before="40"/>
      </w:pPr>
      <w:r>
        <w:rPr>
          <w:b/>
          <w:sz w:val="22"/>
        </w:rPr>
        <w:t>Answer: a</w:t>
      </w:r>
    </w:p>
    <w:p>
      <w:pPr>
        <w:spacing w:after="0" w:before="0"/>
      </w:pPr>
      <w:r>
        <w:rPr>
          <w:b w:val="0"/>
          <w:sz w:val="21"/>
        </w:rPr>
        <w:t>Solution: Haemophilia A (factor VIII deficiency) is an X-linked recessive disorder; affected males inherit the defective X chromosome from carrier mothers, while Huntington's disease and Marfan syndrome are autosomal dominant.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should not be provided to the newborn in galactosemia?</w:t>
      </w:r>
    </w:p>
    <w:p>
      <w:pPr>
        <w:spacing w:after="0" w:before="0"/>
      </w:pPr>
      <w:r>
        <w:rPr>
          <w:b w:val="0"/>
          <w:sz w:val="22"/>
        </w:rPr>
        <w:t>(a) Gluten</w:t>
      </w:r>
    </w:p>
    <w:p>
      <w:pPr>
        <w:spacing w:after="0" w:before="0"/>
      </w:pPr>
      <w:r>
        <w:rPr>
          <w:b w:val="0"/>
          <w:sz w:val="22"/>
        </w:rPr>
        <w:t>(b) Glycogen</w:t>
      </w:r>
    </w:p>
    <w:p>
      <w:pPr>
        <w:spacing w:after="0" w:before="0"/>
      </w:pPr>
      <w:r>
        <w:rPr>
          <w:b w:val="0"/>
          <w:sz w:val="22"/>
        </w:rPr>
        <w:t>(c) Starch</w:t>
      </w:r>
    </w:p>
    <w:p>
      <w:pPr>
        <w:spacing w:after="0" w:before="0"/>
      </w:pPr>
      <w:r>
        <w:rPr>
          <w:b w:val="0"/>
          <w:sz w:val="22"/>
        </w:rPr>
        <w:t>(d) Milk</w:t>
      </w:r>
    </w:p>
    <w:p>
      <w:pPr>
        <w:spacing w:after="0" w:before="40"/>
      </w:pPr>
      <w:r>
        <w:rPr>
          <w:b/>
          <w:sz w:val="22"/>
        </w:rPr>
        <w:t>Answer: d</w:t>
      </w:r>
    </w:p>
    <w:p>
      <w:pPr>
        <w:spacing w:after="0" w:before="0"/>
      </w:pPr>
      <w:r>
        <w:rPr>
          <w:b w:val="0"/>
          <w:sz w:val="21"/>
        </w:rPr>
        <w:t>Solution: In galactosemia, milk (lactose) must be avoided as the infant cannot metabolise galactose.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ASHA in "A" stands for?</w:t>
      </w:r>
    </w:p>
    <w:p>
      <w:pPr>
        <w:spacing w:after="0" w:before="0"/>
      </w:pPr>
      <w:r>
        <w:rPr>
          <w:b w:val="0"/>
          <w:sz w:val="22"/>
        </w:rPr>
        <w:t>(a) Accredited</w:t>
      </w:r>
    </w:p>
    <w:p>
      <w:pPr>
        <w:spacing w:after="0" w:before="0"/>
      </w:pPr>
      <w:r>
        <w:rPr>
          <w:b w:val="0"/>
          <w:sz w:val="22"/>
        </w:rPr>
        <w:t>(b) Automised</w:t>
      </w:r>
    </w:p>
    <w:p>
      <w:pPr>
        <w:spacing w:after="0" w:before="0"/>
      </w:pPr>
      <w:r>
        <w:rPr>
          <w:b w:val="0"/>
          <w:sz w:val="22"/>
        </w:rPr>
        <w:t>(c) Actor</w:t>
      </w:r>
    </w:p>
    <w:p>
      <w:pPr>
        <w:spacing w:after="0" w:before="0"/>
      </w:pPr>
      <w:r>
        <w:rPr>
          <w:b w:val="0"/>
          <w:sz w:val="22"/>
        </w:rPr>
        <w:t>(d) Accesary</w:t>
      </w:r>
    </w:p>
    <w:p>
      <w:pPr>
        <w:spacing w:after="0" w:before="40"/>
      </w:pPr>
      <w:r>
        <w:rPr>
          <w:b/>
          <w:sz w:val="22"/>
        </w:rPr>
        <w:t>Answer: a</w:t>
      </w:r>
    </w:p>
    <w:p>
      <w:pPr>
        <w:spacing w:after="0" w:before="0"/>
      </w:pPr>
      <w:r>
        <w:rPr>
          <w:b w:val="0"/>
          <w:sz w:val="21"/>
        </w:rPr>
        <w:t>Solution: ASHA stands for Accredited Social Health Activist, a community health volunteer under the National Rural Health Mission.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fractured femur suddenly develops dyspnea, chest pain and confusion 48 hours after injury. Which complication should the nurse suspect FIRST?</w:t>
      </w:r>
    </w:p>
    <w:p>
      <w:pPr>
        <w:spacing w:after="0" w:before="0"/>
      </w:pPr>
      <w:r>
        <w:rPr>
          <w:b w:val="0"/>
          <w:sz w:val="22"/>
        </w:rPr>
        <w:t>(a) Pulmonary embolism</w:t>
      </w:r>
    </w:p>
    <w:p>
      <w:pPr>
        <w:spacing w:after="0" w:before="0"/>
      </w:pPr>
      <w:r>
        <w:rPr>
          <w:b w:val="0"/>
          <w:sz w:val="22"/>
        </w:rPr>
        <w:t>(b) Hypovolemic shock</w:t>
      </w:r>
    </w:p>
    <w:p>
      <w:pPr>
        <w:spacing w:after="0" w:before="0"/>
      </w:pPr>
      <w:r>
        <w:rPr>
          <w:b w:val="0"/>
          <w:sz w:val="22"/>
        </w:rPr>
        <w:t>(c) Pneumothorax</w:t>
      </w:r>
    </w:p>
    <w:p>
      <w:pPr>
        <w:spacing w:after="0" w:before="0"/>
      </w:pPr>
      <w:r>
        <w:rPr>
          <w:b w:val="0"/>
          <w:sz w:val="22"/>
        </w:rPr>
        <w:t>(d) Fat embolism syndrome</w:t>
      </w:r>
    </w:p>
    <w:p>
      <w:pPr>
        <w:spacing w:after="0" w:before="40"/>
      </w:pPr>
      <w:r>
        <w:rPr>
          <w:b/>
          <w:sz w:val="22"/>
        </w:rPr>
        <w:t>Answer: d</w:t>
      </w:r>
    </w:p>
    <w:p>
      <w:pPr>
        <w:spacing w:after="0" w:before="0"/>
      </w:pPr>
      <w:r>
        <w:rPr>
          <w:b w:val="0"/>
          <w:sz w:val="21"/>
        </w:rPr>
        <w:t>Solution: Fat embolism, most common after long-bone fractures, classically presents with respiratory distress and confusion 24-72 hours after injury (petechiae over the chest are a hallmark).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receiving change-of-shift report, which client should the nurse assess FIRST?</w:t>
      </w:r>
    </w:p>
    <w:p>
      <w:pPr>
        <w:spacing w:after="0" w:before="0"/>
      </w:pPr>
      <w:r>
        <w:rPr>
          <w:b w:val="0"/>
          <w:sz w:val="22"/>
        </w:rPr>
        <w:t>(a) A client who had an uneventful postoperative night</w:t>
      </w:r>
    </w:p>
    <w:p>
      <w:pPr>
        <w:spacing w:after="0" w:before="0"/>
      </w:pPr>
      <w:r>
        <w:rPr>
          <w:b w:val="0"/>
          <w:sz w:val="22"/>
        </w:rPr>
        <w:t>(b) A client scheduled for surgery in 2 hours</w:t>
      </w:r>
    </w:p>
    <w:p>
      <w:pPr>
        <w:spacing w:after="0" w:before="0"/>
      </w:pPr>
      <w:r>
        <w:rPr>
          <w:b w:val="0"/>
          <w:sz w:val="22"/>
        </w:rPr>
        <w:t>(c) A client requesting pain medication</w:t>
      </w:r>
    </w:p>
    <w:p>
      <w:pPr>
        <w:spacing w:after="0" w:before="0"/>
      </w:pPr>
      <w:r>
        <w:rPr>
          <w:b w:val="0"/>
          <w:sz w:val="22"/>
        </w:rPr>
        <w:t>(d) A client with chest pain, diaphoresis and BP 90/60 mm Hg</w:t>
      </w:r>
    </w:p>
    <w:p>
      <w:pPr>
        <w:spacing w:after="0" w:before="40"/>
      </w:pPr>
      <w:r>
        <w:rPr>
          <w:b/>
          <w:sz w:val="22"/>
        </w:rPr>
        <w:t>Answer: d</w:t>
      </w:r>
    </w:p>
    <w:p>
      <w:pPr>
        <w:spacing w:after="0" w:before="0"/>
      </w:pPr>
      <w:r>
        <w:rPr>
          <w:b w:val="0"/>
          <w:sz w:val="21"/>
        </w:rPr>
        <w:t>Solution: Chest pain with diaphoresis and hypotension suggests an acute cardiac event; this client is at greatest risk and is assessed first (ABC/priority framework).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the emergency department, during CPR of a neonate, the on-duty nurse is unable to access a venous site. What is the priority next action?</w:t>
      </w:r>
    </w:p>
    <w:p>
      <w:pPr>
        <w:spacing w:after="0" w:before="0"/>
      </w:pPr>
      <w:r>
        <w:rPr>
          <w:b w:val="0"/>
          <w:sz w:val="22"/>
        </w:rPr>
        <w:t>(a) Direct injection into the intraosseous space of the tibia</w:t>
      </w:r>
    </w:p>
    <w:p>
      <w:pPr>
        <w:spacing w:after="0" w:before="0"/>
      </w:pPr>
      <w:r>
        <w:rPr>
          <w:b w:val="0"/>
          <w:sz w:val="22"/>
        </w:rPr>
        <w:t>(b) Direct injection into an artery</w:t>
      </w:r>
    </w:p>
    <w:p>
      <w:pPr>
        <w:spacing w:after="0" w:before="0"/>
      </w:pPr>
      <w:r>
        <w:rPr>
          <w:b w:val="0"/>
          <w:sz w:val="22"/>
        </w:rPr>
        <w:t>(c) Cut down and inject directly</w:t>
      </w:r>
    </w:p>
    <w:p>
      <w:pPr>
        <w:spacing w:after="0" w:before="0"/>
      </w:pPr>
      <w:r>
        <w:rPr>
          <w:b w:val="0"/>
          <w:sz w:val="22"/>
        </w:rPr>
        <w:t>(d) Plan for a central line</w:t>
      </w:r>
    </w:p>
    <w:p>
      <w:pPr>
        <w:spacing w:after="0" w:before="40"/>
      </w:pPr>
      <w:r>
        <w:rPr>
          <w:b/>
          <w:sz w:val="22"/>
        </w:rPr>
        <w:t>Answer: a</w:t>
      </w:r>
    </w:p>
    <w:p>
      <w:pPr>
        <w:spacing w:after="0" w:before="0"/>
      </w:pPr>
      <w:r>
        <w:rPr>
          <w:b w:val="0"/>
          <w:sz w:val="21"/>
        </w:rPr>
        <w:t>Solution: If venous access cannot be established within 90 seconds (3 attempts) during neonatal resuscitation, intraosseous (IO) access is the preferred alternative route for drugs and fluids.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most common bacterial cause of urinary tract infection (UTI) in children?</w:t>
      </w:r>
    </w:p>
    <w:p>
      <w:pPr>
        <w:spacing w:after="0" w:before="0"/>
      </w:pPr>
      <w:r>
        <w:rPr>
          <w:b w:val="0"/>
          <w:sz w:val="22"/>
        </w:rPr>
        <w:t>(a) Streptococcus</w:t>
      </w:r>
    </w:p>
    <w:p>
      <w:pPr>
        <w:spacing w:after="0" w:before="0"/>
      </w:pPr>
      <w:r>
        <w:rPr>
          <w:b w:val="0"/>
          <w:sz w:val="22"/>
        </w:rPr>
        <w:t>(b) Staphylococcus</w:t>
      </w:r>
    </w:p>
    <w:p>
      <w:pPr>
        <w:spacing w:after="0" w:before="0"/>
      </w:pPr>
      <w:r>
        <w:rPr>
          <w:b w:val="0"/>
          <w:sz w:val="22"/>
        </w:rPr>
        <w:t>(c) E. coli</w:t>
      </w:r>
    </w:p>
    <w:p>
      <w:pPr>
        <w:spacing w:after="0" w:before="0"/>
      </w:pPr>
      <w:r>
        <w:rPr>
          <w:b w:val="0"/>
          <w:sz w:val="22"/>
        </w:rPr>
        <w:t>(d) EBV</w:t>
      </w:r>
    </w:p>
    <w:p>
      <w:pPr>
        <w:spacing w:after="0" w:before="40"/>
      </w:pPr>
      <w:r>
        <w:rPr>
          <w:b/>
          <w:sz w:val="22"/>
        </w:rPr>
        <w:t>Answer: c</w:t>
      </w:r>
    </w:p>
    <w:p>
      <w:pPr>
        <w:spacing w:after="0" w:before="0"/>
      </w:pPr>
      <w:r>
        <w:rPr>
          <w:b w:val="0"/>
          <w:sz w:val="21"/>
        </w:rPr>
        <w:t>Solution: The most common bacterial cause of urinary tract infection (UTI) in children is Escherichia coli (E. coli) (option D). E. coli is a type of bacteria that normally resides in the gastrointestinal tract. However, it can ascend into the urinary tract, especially in girls, leading to infection. The proximity of the urethra to the anus in children makes it easier for bacteria to enter the urinary system. Other bacterial pathogens such as Klebsiella, Proteus, and Enterococcus can also cause UTIs in children, but E. coli is the most prevalent. Prompt diagnosis and appropriate treatment are essential to prevent complications and recurrent infections in children with UTIs.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covid symptoms in the child, except?</w:t>
      </w:r>
    </w:p>
    <w:p>
      <w:pPr>
        <w:spacing w:after="0" w:before="0"/>
      </w:pPr>
      <w:r>
        <w:rPr>
          <w:b w:val="0"/>
          <w:sz w:val="22"/>
        </w:rPr>
        <w:t>(a) Fever</w:t>
      </w:r>
    </w:p>
    <w:p>
      <w:pPr>
        <w:spacing w:after="0" w:before="0"/>
      </w:pPr>
      <w:r>
        <w:rPr>
          <w:b w:val="0"/>
          <w:sz w:val="22"/>
        </w:rPr>
        <w:t>(b) Purulent conjunctivitis</w:t>
      </w:r>
    </w:p>
    <w:p>
      <w:pPr>
        <w:spacing w:after="0" w:before="0"/>
      </w:pPr>
      <w:r>
        <w:rPr>
          <w:b w:val="0"/>
          <w:sz w:val="22"/>
        </w:rPr>
        <w:t>(c) Shock</w:t>
      </w:r>
    </w:p>
    <w:p>
      <w:pPr>
        <w:spacing w:after="0" w:before="0"/>
      </w:pPr>
      <w:r>
        <w:rPr>
          <w:b w:val="0"/>
          <w:sz w:val="22"/>
        </w:rPr>
        <w:t>(d) Rhinitis</w:t>
      </w:r>
    </w:p>
    <w:p>
      <w:pPr>
        <w:spacing w:after="0" w:before="40"/>
      </w:pPr>
      <w:r>
        <w:rPr>
          <w:b/>
          <w:sz w:val="22"/>
        </w:rPr>
        <w:t>Answer: c</w:t>
      </w:r>
    </w:p>
    <w:p>
      <w:pPr>
        <w:spacing w:after="0" w:before="0"/>
      </w:pPr>
      <w:r>
        <w:rPr>
          <w:b w:val="0"/>
          <w:sz w:val="21"/>
        </w:rPr>
        <w:t>Solution: In children, shock is not typically considered a common symptom of COVID-19 (option A). Children infected with COVID-19 may exhibit a range of symptoms, but shock, which refers to a life-threatening condition characterized by inadequate blood flow to vital organs, is not commonly associated with the infection in children. Instead, common symptoms in children with COVID-19 may include fever, cough, sore throat, rhinitis (runny nose), fatigue, headache, gastrointestinal symptoms, such as nausea and diarrhea, and in some cases, skin rashes. It is important to note that the symptoms of COVID-19 can vary among individuals, and medical evaluation should be sought for proper diagnosis and management. covid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correct full form of PDSA?</w:t>
      </w:r>
    </w:p>
    <w:p>
      <w:pPr>
        <w:spacing w:after="0" w:before="0"/>
      </w:pPr>
      <w:r>
        <w:rPr>
          <w:b w:val="0"/>
          <w:sz w:val="22"/>
        </w:rPr>
        <w:t>(a) Plan Do Study Act</w:t>
      </w:r>
    </w:p>
    <w:p>
      <w:pPr>
        <w:spacing w:after="0" w:before="0"/>
      </w:pPr>
      <w:r>
        <w:rPr>
          <w:b w:val="0"/>
          <w:sz w:val="22"/>
        </w:rPr>
        <w:t>(b) Procedure Do Study Act</w:t>
      </w:r>
    </w:p>
    <w:p>
      <w:pPr>
        <w:spacing w:after="0" w:before="0"/>
      </w:pPr>
      <w:r>
        <w:rPr>
          <w:b w:val="0"/>
          <w:sz w:val="22"/>
        </w:rPr>
        <w:t>(c) Plan Do Student Act</w:t>
      </w:r>
    </w:p>
    <w:p>
      <w:pPr>
        <w:spacing w:after="0" w:before="0"/>
      </w:pPr>
      <w:r>
        <w:rPr>
          <w:b w:val="0"/>
          <w:sz w:val="22"/>
        </w:rPr>
        <w:t>(d) None of the above</w:t>
      </w:r>
    </w:p>
    <w:p>
      <w:pPr>
        <w:spacing w:after="0" w:before="40"/>
      </w:pPr>
      <w:r>
        <w:rPr>
          <w:b/>
          <w:sz w:val="22"/>
        </w:rPr>
        <w:t>Answer: a</w:t>
      </w:r>
    </w:p>
    <w:p>
      <w:pPr>
        <w:spacing w:after="0" w:before="0"/>
      </w:pPr>
      <w:r>
        <w:rPr>
          <w:b w:val="0"/>
          <w:sz w:val="21"/>
        </w:rPr>
        <w:t>Solution: The correct full form of PDSA is Plan-Do-Study-Act (option A). PDSA is a quality improvement framework commonly used in healthcare settings. It is a cyclic and iterative process that guides the implementation and evaluation of changes to improve processes or outcomes. The PDSA cycle involves planning the change (Plan), implementing the change (Do), observing and analyzing the results (Study), and acting upon the findings to make necessary adjustments (Act). This systematic approach allows healthcare teams to test and refine changes in a structured manner, leading to continuous improvement in patient care and organizational processes.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is going to start the peritoneal dialysis. Which is a first priority action of the nurse?</w:t>
      </w:r>
    </w:p>
    <w:p>
      <w:pPr>
        <w:spacing w:after="0" w:before="0"/>
      </w:pPr>
      <w:r>
        <w:rPr>
          <w:b w:val="0"/>
          <w:sz w:val="22"/>
        </w:rPr>
        <w:t>(a) Apply Foley`s catheter</w:t>
      </w:r>
    </w:p>
    <w:p>
      <w:pPr>
        <w:spacing w:after="0" w:before="0"/>
      </w:pPr>
      <w:r>
        <w:rPr>
          <w:b w:val="0"/>
          <w:sz w:val="22"/>
        </w:rPr>
        <w:t>(b) Auscultate and palpate for bruit and thrill</w:t>
      </w:r>
    </w:p>
    <w:p>
      <w:pPr>
        <w:spacing w:after="0" w:before="0"/>
      </w:pPr>
      <w:r>
        <w:rPr>
          <w:b w:val="0"/>
          <w:sz w:val="22"/>
        </w:rPr>
        <w:t>(c) Warm the dialysate solution</w:t>
      </w:r>
    </w:p>
    <w:p>
      <w:pPr>
        <w:spacing w:after="0" w:before="0"/>
      </w:pPr>
      <w:r>
        <w:rPr>
          <w:b w:val="0"/>
          <w:sz w:val="22"/>
        </w:rPr>
        <w:t>(d) Place the client in left side lying position</w:t>
      </w:r>
    </w:p>
    <w:p>
      <w:pPr>
        <w:spacing w:after="0" w:before="40"/>
      </w:pPr>
      <w:r>
        <w:rPr>
          <w:b/>
          <w:sz w:val="22"/>
        </w:rPr>
        <w:t>Answer: c</w:t>
      </w:r>
    </w:p>
    <w:p>
      <w:pPr>
        <w:spacing w:after="0" w:before="0"/>
      </w:pPr>
      <w:r>
        <w:rPr>
          <w:b w:val="0"/>
          <w:sz w:val="21"/>
        </w:rPr>
        <w:t>Solution: The peritoneal cavity is very sensitive to temperature, and using cold dialysate can cause discomfort and pain during the procedure. Warming the dialysate to body temperature (around 37°C or 98.6°F) before use helps to prevent this discomfort and improve the effectiveness of the dialysis. In addition, warming the dialysate can help to increase the flow of fluid into and out of the peritoneal cavity, which can improve the efficiency of the dialysis process.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having diarrhea shows sunken eyes and is eagerly thirsty. When milk is provided to the baby, it drinks it eagerly. Which type of dehydration is in this patient?</w:t>
      </w:r>
    </w:p>
    <w:p>
      <w:pPr>
        <w:spacing w:after="0" w:before="0"/>
      </w:pPr>
      <w:r>
        <w:rPr>
          <w:b w:val="0"/>
          <w:sz w:val="22"/>
        </w:rPr>
        <w:t>(a) Severe dehydration</w:t>
      </w:r>
    </w:p>
    <w:p>
      <w:pPr>
        <w:spacing w:after="0" w:before="0"/>
      </w:pPr>
      <w:r>
        <w:rPr>
          <w:b w:val="0"/>
          <w:sz w:val="22"/>
        </w:rPr>
        <w:t>(b) Norma</w:t>
      </w:r>
    </w:p>
    <w:p>
      <w:pPr>
        <w:spacing w:after="0" w:before="0"/>
      </w:pPr>
      <w:r>
        <w:rPr>
          <w:b w:val="0"/>
          <w:sz w:val="22"/>
        </w:rPr>
        <w:t>(c) Moderate dehydration</w:t>
      </w:r>
    </w:p>
    <w:p>
      <w:pPr>
        <w:spacing w:after="0" w:before="0"/>
      </w:pPr>
      <w:r>
        <w:rPr>
          <w:b w:val="0"/>
          <w:sz w:val="22"/>
        </w:rPr>
        <w:t>(d) Mild dehydration</w:t>
      </w:r>
    </w:p>
    <w:p>
      <w:pPr>
        <w:spacing w:after="0" w:before="40"/>
      </w:pPr>
      <w:r>
        <w:rPr>
          <w:b/>
          <w:sz w:val="22"/>
        </w:rPr>
        <w:t>Answer: c</w:t>
      </w:r>
    </w:p>
    <w:p>
      <w:pPr>
        <w:spacing w:after="0" w:before="0"/>
      </w:pPr>
      <w:r>
        <w:rPr>
          <w:b w:val="0"/>
          <w:sz w:val="21"/>
        </w:rPr>
        <w:t>Solution: Sunken eyes with eager drinking after offering fluids indicate moderate dehydration (Plan B: ORS).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related to MMR vaccine?</w:t>
      </w:r>
    </w:p>
    <w:p>
      <w:pPr>
        <w:spacing w:after="0" w:before="0"/>
      </w:pPr>
      <w:r>
        <w:rPr>
          <w:b w:val="0"/>
          <w:sz w:val="22"/>
        </w:rPr>
        <w:t>(a) Mumps</w:t>
      </w:r>
    </w:p>
    <w:p>
      <w:pPr>
        <w:spacing w:after="0" w:before="0"/>
      </w:pPr>
      <w:r>
        <w:rPr>
          <w:b w:val="0"/>
          <w:sz w:val="22"/>
        </w:rPr>
        <w:t>(b) Rubella</w:t>
      </w:r>
    </w:p>
    <w:p>
      <w:pPr>
        <w:spacing w:after="0" w:before="0"/>
      </w:pPr>
      <w:r>
        <w:rPr>
          <w:b w:val="0"/>
          <w:sz w:val="22"/>
        </w:rPr>
        <w:t>(c) Measles</w:t>
      </w:r>
    </w:p>
    <w:p>
      <w:pPr>
        <w:spacing w:after="0" w:before="0"/>
      </w:pPr>
      <w:r>
        <w:rPr>
          <w:b w:val="0"/>
          <w:sz w:val="22"/>
        </w:rPr>
        <w:t>(d) Rickets</w:t>
      </w:r>
    </w:p>
    <w:p>
      <w:pPr>
        <w:spacing w:after="0" w:before="40"/>
      </w:pPr>
      <w:r>
        <w:rPr>
          <w:b/>
          <w:sz w:val="22"/>
        </w:rPr>
        <w:t>Answer: d</w:t>
      </w:r>
    </w:p>
    <w:p>
      <w:pPr>
        <w:spacing w:after="0" w:before="0"/>
      </w:pPr>
      <w:r>
        <w:rPr>
          <w:b w:val="0"/>
          <w:sz w:val="21"/>
        </w:rPr>
        <w:t>Solution: The MMR vaccine protects against measles, mumps and rubella; rickets is a vitamin D deficiency disorder and is not related to MMR.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When did India commence COVID-19 vaccination with COVAXIN?</w:t>
      </w:r>
    </w:p>
    <w:p>
      <w:pPr>
        <w:spacing w:after="0" w:before="0"/>
      </w:pPr>
      <w:r>
        <w:rPr>
          <w:b w:val="0"/>
          <w:sz w:val="22"/>
        </w:rPr>
        <w:t>(a) 18 January 2021,</w:t>
      </w:r>
    </w:p>
    <w:p>
      <w:pPr>
        <w:spacing w:after="0" w:before="0"/>
      </w:pPr>
      <w:r>
        <w:rPr>
          <w:b w:val="0"/>
          <w:sz w:val="22"/>
        </w:rPr>
        <w:t>(b) 20 January 2021,</w:t>
      </w:r>
    </w:p>
    <w:p>
      <w:pPr>
        <w:spacing w:after="0" w:before="0"/>
      </w:pPr>
      <w:r>
        <w:rPr>
          <w:b w:val="0"/>
          <w:sz w:val="22"/>
        </w:rPr>
        <w:t>(c) 22 January 2021,</w:t>
      </w:r>
    </w:p>
    <w:p>
      <w:pPr>
        <w:spacing w:after="0" w:before="0"/>
      </w:pPr>
      <w:r>
        <w:rPr>
          <w:b w:val="0"/>
          <w:sz w:val="22"/>
        </w:rPr>
        <w:t>(d) 16 January 2021,</w:t>
      </w:r>
    </w:p>
    <w:p>
      <w:pPr>
        <w:spacing w:after="0" w:before="40"/>
      </w:pPr>
      <w:r>
        <w:rPr>
          <w:b/>
          <w:sz w:val="22"/>
        </w:rPr>
        <w:t>Answer: d</w:t>
      </w:r>
    </w:p>
    <w:p>
      <w:pPr>
        <w:spacing w:after="0" w:before="0"/>
      </w:pPr>
      <w:r>
        <w:rPr>
          <w:b w:val="0"/>
          <w:sz w:val="21"/>
        </w:rPr>
        <w:t>Solution: India commenced COVID-19 vaccination with COVAXIN on 16 January 2021 (option A). COVAXIN is an indigenous COVID-19 vaccine developed by Bharat Biotech in collaboration with the Indian Council of Medical Research (ICMR) and the National Institute of Virology (NIV). It is a whole-virion inactivated vaccine that triggers an immune response against the SARS-CoV-2 virus. The vaccination campaign in India aimed to protect individuals against COVID-19 and reduce the impact of the pandemic. The vaccine rollout followed a phased approach, prioritizing healthcare workers, frontline workers, and individuals at higher risk.</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