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vesicant chemotherapeutic drug extravasates during IV infusion. What is the nurse's priority action?</w:t>
      </w:r>
    </w:p>
    <w:p>
      <w:pPr>
        <w:spacing w:after="0" w:before="0"/>
      </w:pPr>
      <w:r>
        <w:rPr>
          <w:b w:val="0"/>
          <w:sz w:val="22"/>
        </w:rPr>
        <w:t>(a) Apply a warm compress to the site</w:t>
      </w:r>
    </w:p>
    <w:p>
      <w:pPr>
        <w:spacing w:after="0" w:before="0"/>
      </w:pPr>
      <w:r>
        <w:rPr>
          <w:b w:val="0"/>
          <w:sz w:val="22"/>
        </w:rPr>
        <w:t>(b) Stop the infusion immediately</w:t>
      </w:r>
    </w:p>
    <w:p>
      <w:pPr>
        <w:spacing w:after="0" w:before="0"/>
      </w:pPr>
      <w:r>
        <w:rPr>
          <w:b w:val="0"/>
          <w:sz w:val="22"/>
        </w:rPr>
        <w:t>(c) Notify the oncologist after completing the infusion</w:t>
      </w:r>
    </w:p>
    <w:p>
      <w:pPr>
        <w:spacing w:after="0" w:before="0"/>
      </w:pPr>
      <w:r>
        <w:rPr>
          <w:b w:val="0"/>
          <w:sz w:val="22"/>
        </w:rPr>
        <w:t>(d) Elevate the extremity</w:t>
      </w:r>
    </w:p>
    <w:p>
      <w:pPr>
        <w:spacing w:after="0" w:before="40"/>
      </w:pPr>
      <w:r>
        <w:rPr>
          <w:b/>
          <w:sz w:val="22"/>
        </w:rPr>
        <w:t>Answer: b</w:t>
      </w:r>
    </w:p>
    <w:p>
      <w:pPr>
        <w:spacing w:after="0" w:before="0"/>
      </w:pPr>
      <w:r>
        <w:rPr>
          <w:b w:val="0"/>
          <w:sz w:val="21"/>
        </w:rPr>
        <w:t>Solution: For a vesicant extravasation the infusion is stopped immediately, the drug aspirated from the tubing, and the provider notified; the antidote/compress then depends on the drug.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cause of infant mortality in India is</w:t>
      </w:r>
    </w:p>
    <w:p>
      <w:pPr>
        <w:spacing w:after="0" w:before="0"/>
      </w:pPr>
      <w:r>
        <w:rPr>
          <w:b w:val="0"/>
          <w:sz w:val="22"/>
        </w:rPr>
        <w:t>(a) Low birth weight</w:t>
      </w:r>
    </w:p>
    <w:p>
      <w:pPr>
        <w:spacing w:after="0" w:before="0"/>
      </w:pPr>
      <w:r>
        <w:rPr>
          <w:b w:val="0"/>
          <w:sz w:val="22"/>
        </w:rPr>
        <w:t>(b) Sepsis</w:t>
      </w:r>
    </w:p>
    <w:p>
      <w:pPr>
        <w:spacing w:after="0" w:before="0"/>
      </w:pPr>
      <w:r>
        <w:rPr>
          <w:b w:val="0"/>
          <w:sz w:val="22"/>
        </w:rPr>
        <w:t>(c) Complications of labor</w:t>
      </w:r>
    </w:p>
    <w:p>
      <w:pPr>
        <w:spacing w:after="0" w:before="0"/>
      </w:pPr>
      <w:r>
        <w:rPr>
          <w:b w:val="0"/>
          <w:sz w:val="22"/>
        </w:rPr>
        <w:t>(d) Congential anomalies</w:t>
      </w:r>
    </w:p>
    <w:p>
      <w:pPr>
        <w:spacing w:after="0" w:before="40"/>
      </w:pPr>
      <w:r>
        <w:rPr>
          <w:b/>
          <w:sz w:val="22"/>
        </w:rPr>
        <w:t>Answer: a</w:t>
      </w:r>
    </w:p>
    <w:p>
      <w:pPr>
        <w:spacing w:after="0" w:before="0"/>
      </w:pPr>
      <w:r>
        <w:rPr>
          <w:b w:val="0"/>
          <w:sz w:val="21"/>
        </w:rPr>
        <w:t>Solution: Low birth weight is the most common cause of infant mortality in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IgG</w:t>
      </w:r>
    </w:p>
    <w:p>
      <w:pPr>
        <w:spacing w:after="0" w:before="0"/>
      </w:pPr>
      <w:r>
        <w:rPr>
          <w:b w:val="0"/>
          <w:sz w:val="22"/>
        </w:rPr>
        <w:t>(b) IgE</w:t>
      </w:r>
    </w:p>
    <w:p>
      <w:pPr>
        <w:spacing w:after="0" w:before="0"/>
      </w:pPr>
      <w:r>
        <w:rPr>
          <w:b w:val="0"/>
          <w:sz w:val="22"/>
        </w:rPr>
        <w:t>(c) IgM</w:t>
      </w:r>
    </w:p>
    <w:p>
      <w:pPr>
        <w:spacing w:after="0" w:before="0"/>
      </w:pPr>
      <w:r>
        <w:rPr>
          <w:b w:val="0"/>
          <w:sz w:val="22"/>
        </w:rPr>
        <w:t>(d) IgA</w:t>
      </w:r>
    </w:p>
    <w:p>
      <w:pPr>
        <w:spacing w:after="0" w:before="40"/>
      </w:pPr>
      <w:r>
        <w:rPr>
          <w:b/>
          <w:sz w:val="22"/>
        </w:rPr>
        <w:t>Answer: b</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name of the outer lip like structure that protects the entrance to the female reproductive system?</w:t>
      </w:r>
    </w:p>
    <w:p>
      <w:pPr>
        <w:spacing w:after="0" w:before="0"/>
      </w:pPr>
      <w:r>
        <w:rPr>
          <w:b w:val="0"/>
          <w:sz w:val="22"/>
        </w:rPr>
        <w:t>(a) Hymen</w:t>
      </w:r>
    </w:p>
    <w:p>
      <w:pPr>
        <w:spacing w:after="0" w:before="0"/>
      </w:pPr>
      <w:r>
        <w:rPr>
          <w:b w:val="0"/>
          <w:sz w:val="22"/>
        </w:rPr>
        <w:t>(b) Labia</w:t>
      </w:r>
    </w:p>
    <w:p>
      <w:pPr>
        <w:spacing w:after="0" w:before="0"/>
      </w:pPr>
      <w:r>
        <w:rPr>
          <w:b w:val="0"/>
          <w:sz w:val="22"/>
        </w:rPr>
        <w:t>(c) Cervix</w:t>
      </w:r>
    </w:p>
    <w:p>
      <w:pPr>
        <w:spacing w:after="0" w:before="0"/>
      </w:pPr>
      <w:r>
        <w:rPr>
          <w:b w:val="0"/>
          <w:sz w:val="22"/>
        </w:rPr>
        <w:t>(d) None of the above</w:t>
      </w:r>
    </w:p>
    <w:p>
      <w:pPr>
        <w:spacing w:after="0" w:before="40"/>
      </w:pPr>
      <w:r>
        <w:rPr>
          <w:b/>
          <w:sz w:val="22"/>
        </w:rPr>
        <w:t>Answer: b</w:t>
      </w:r>
    </w:p>
    <w:p>
      <w:pPr>
        <w:spacing w:after="0" w:before="0"/>
      </w:pPr>
      <w:r>
        <w:rPr>
          <w:b w:val="0"/>
          <w:sz w:val="21"/>
        </w:rPr>
        <w:t>Solution: The labia (labia majora and minora) are the outer lip-like folds protecting the entrance of the female reproductive tract.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examining a patient who is paralysed below the T4 level, the medical-surgical nurse expects to find:</w:t>
      </w:r>
    </w:p>
    <w:p>
      <w:pPr>
        <w:spacing w:after="0" w:before="0"/>
      </w:pPr>
      <w:r>
        <w:rPr>
          <w:b w:val="0"/>
          <w:sz w:val="22"/>
        </w:rPr>
        <w:t>(a) Independent use of the upper extremities and efficient cough</w:t>
      </w:r>
    </w:p>
    <w:p>
      <w:pPr>
        <w:spacing w:after="0" w:before="0"/>
      </w:pPr>
      <w:r>
        <w:rPr>
          <w:b w:val="0"/>
          <w:sz w:val="22"/>
        </w:rPr>
        <w:t>(b) Hyperreflexia and spasticity of the upper extremities</w:t>
      </w:r>
    </w:p>
    <w:p>
      <w:pPr>
        <w:spacing w:after="0" w:before="0"/>
      </w:pPr>
      <w:r>
        <w:rPr>
          <w:b w:val="0"/>
          <w:sz w:val="22"/>
        </w:rPr>
        <w:t>(c) Impaired diaphragmatic function requiring ventilator support</w:t>
      </w:r>
    </w:p>
    <w:p>
      <w:pPr>
        <w:spacing w:after="0" w:before="0"/>
      </w:pPr>
      <w:r>
        <w:rPr>
          <w:b w:val="0"/>
          <w:sz w:val="22"/>
        </w:rPr>
        <w:t>(d) Flaccidity of the upper extremities</w:t>
      </w:r>
    </w:p>
    <w:p>
      <w:pPr>
        <w:spacing w:after="0" w:before="40"/>
      </w:pPr>
      <w:r>
        <w:rPr>
          <w:b/>
          <w:sz w:val="22"/>
        </w:rPr>
        <w:t>Answer: a</w:t>
      </w:r>
    </w:p>
    <w:p>
      <w:pPr>
        <w:spacing w:after="0" w:before="0"/>
      </w:pPr>
      <w:r>
        <w:rPr>
          <w:b w:val="0"/>
          <w:sz w:val="21"/>
        </w:rPr>
        <w:t>Solution: A lesion below T4 spares the upper extremities, so the patient retains independent use of the arms and hands.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person states that he is sent by a higher deity [God] he will help us all and guide to the way to god</w:t>
      </w:r>
    </w:p>
    <w:p>
      <w:pPr>
        <w:spacing w:after="0" w:before="0"/>
      </w:pPr>
      <w:r>
        <w:rPr>
          <w:b w:val="0"/>
          <w:sz w:val="22"/>
        </w:rPr>
        <w:t>(a) Delusion of persecution</w:t>
      </w:r>
    </w:p>
    <w:p>
      <w:pPr>
        <w:spacing w:after="0" w:before="0"/>
      </w:pPr>
      <w:r>
        <w:rPr>
          <w:b w:val="0"/>
          <w:sz w:val="22"/>
        </w:rPr>
        <w:t>(b) Delusion of grandiosity</w:t>
      </w:r>
    </w:p>
    <w:p>
      <w:pPr>
        <w:spacing w:after="0" w:before="0"/>
      </w:pPr>
      <w:r>
        <w:rPr>
          <w:b w:val="0"/>
          <w:sz w:val="22"/>
        </w:rPr>
        <w:t>(c) Delusion of infidelity</w:t>
      </w:r>
    </w:p>
    <w:p>
      <w:pPr>
        <w:spacing w:after="0" w:before="0"/>
      </w:pPr>
      <w:r>
        <w:rPr>
          <w:b w:val="0"/>
          <w:sz w:val="22"/>
        </w:rPr>
        <w:t>(d) Delusion of reference</w:t>
      </w:r>
    </w:p>
    <w:p>
      <w:pPr>
        <w:spacing w:after="0" w:before="40"/>
      </w:pPr>
      <w:r>
        <w:rPr>
          <w:b/>
          <w:sz w:val="22"/>
        </w:rPr>
        <w:t>Answer: b</w:t>
      </w:r>
    </w:p>
    <w:p>
      <w:pPr>
        <w:spacing w:after="0" w:before="0"/>
      </w:pPr>
      <w:r>
        <w:rPr>
          <w:b w:val="0"/>
          <w:sz w:val="21"/>
        </w:rPr>
        <w:t>Solution: The belief that one is sent by a higher deity on a special mission is a delusion of grandiosity.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2 ml × %BSA × body weight (kg)</w:t>
      </w:r>
    </w:p>
    <w:p>
      <w:pPr>
        <w:spacing w:after="0" w:before="0"/>
      </w:pPr>
      <w:r>
        <w:rPr>
          <w:b w:val="0"/>
          <w:sz w:val="22"/>
        </w:rPr>
        <w:t>(b) 1 ml × %BSA × body weight (kg)</w:t>
      </w:r>
    </w:p>
    <w:p>
      <w:pPr>
        <w:spacing w:after="0" w:before="0"/>
      </w:pPr>
      <w:r>
        <w:rPr>
          <w:b w:val="0"/>
          <w:sz w:val="22"/>
        </w:rPr>
        <w:t>(c) 3 ml × %BSA × body weight (kg)</w:t>
      </w:r>
    </w:p>
    <w:p>
      <w:pPr>
        <w:spacing w:after="0" w:before="0"/>
      </w:pPr>
      <w:r>
        <w:rPr>
          <w:b w:val="0"/>
          <w:sz w:val="22"/>
        </w:rPr>
        <w:t>(d) 4 ml × %BSA × body weight (kg)</w:t>
      </w:r>
    </w:p>
    <w:p>
      <w:pPr>
        <w:spacing w:after="0" w:before="40"/>
      </w:pPr>
      <w:r>
        <w:rPr>
          <w:b/>
          <w:sz w:val="22"/>
        </w:rPr>
        <w:t>Answer: d</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vitamin deficiency leads to bleed gums?</w:t>
      </w:r>
    </w:p>
    <w:p>
      <w:pPr>
        <w:spacing w:after="0" w:before="0"/>
      </w:pPr>
      <w:r>
        <w:rPr>
          <w:b w:val="0"/>
          <w:sz w:val="22"/>
        </w:rPr>
        <w:t>(a) Vitamin B</w:t>
      </w:r>
    </w:p>
    <w:p>
      <w:pPr>
        <w:spacing w:after="0" w:before="0"/>
      </w:pPr>
      <w:r>
        <w:rPr>
          <w:b w:val="0"/>
          <w:sz w:val="22"/>
        </w:rPr>
        <w:t>(b) Vitamin C</w:t>
      </w:r>
    </w:p>
    <w:p>
      <w:pPr>
        <w:spacing w:after="0" w:before="0"/>
      </w:pPr>
      <w:r>
        <w:rPr>
          <w:b w:val="0"/>
          <w:sz w:val="22"/>
        </w:rPr>
        <w:t>(c) Vitamin K</w:t>
      </w:r>
    </w:p>
    <w:p>
      <w:pPr>
        <w:spacing w:after="0" w:before="0"/>
      </w:pPr>
      <w:r>
        <w:rPr>
          <w:b w:val="0"/>
          <w:sz w:val="22"/>
        </w:rPr>
        <w:t>(d) Vitamin A</w:t>
      </w:r>
    </w:p>
    <w:p>
      <w:pPr>
        <w:spacing w:after="0" w:before="40"/>
      </w:pPr>
      <w:r>
        <w:rPr>
          <w:b/>
          <w:sz w:val="22"/>
        </w:rPr>
        <w:t>Answer: b</w:t>
      </w:r>
    </w:p>
    <w:p>
      <w:pPr>
        <w:spacing w:after="0" w:before="0"/>
      </w:pPr>
      <w:r>
        <w:rPr>
          <w:b w:val="0"/>
          <w:sz w:val="21"/>
        </w:rPr>
        <w:t>Solution: Deficiency of Vitamin C can lead to bleeding gums. Vitamin C, also known as ascorbic acid, is essential for the synthesis of collagen, a protein that helps in maintaining the integrity of blood vessels. When there is a deficiency of Vitamin C, the blood vessels become weak and fragile, leading to bleeding gums. This condition is known as scurvy. "Harrison's Principles of Internal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Sunken eyes persist</w:t>
      </w:r>
    </w:p>
    <w:p>
      <w:pPr>
        <w:spacing w:after="0" w:before="0"/>
      </w:pPr>
      <w:r>
        <w:rPr>
          <w:b w:val="0"/>
          <w:sz w:val="22"/>
        </w:rPr>
        <w:t>(b) Urine output of 2 mL/kg/hour</w:t>
      </w:r>
    </w:p>
    <w:p>
      <w:pPr>
        <w:spacing w:after="0" w:before="0"/>
      </w:pPr>
      <w:r>
        <w:rPr>
          <w:b w:val="0"/>
          <w:sz w:val="22"/>
        </w:rPr>
        <w:t>(c) Skin turgor remains poor</w:t>
      </w:r>
    </w:p>
    <w:p>
      <w:pPr>
        <w:spacing w:after="0" w:before="0"/>
      </w:pPr>
      <w:r>
        <w:rPr>
          <w:b w:val="0"/>
          <w:sz w:val="22"/>
        </w:rPr>
        <w:t>(d) Capillary refill of 5 seconds</w:t>
      </w:r>
    </w:p>
    <w:p>
      <w:pPr>
        <w:spacing w:after="0" w:before="40"/>
      </w:pPr>
      <w:r>
        <w:rPr>
          <w:b/>
          <w:sz w:val="22"/>
        </w:rPr>
        <w:t>Answer: b</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diagnostic investigation of choice for suspected Placenta Previa in third trimester bleeding?</w:t>
      </w:r>
    </w:p>
    <w:p>
      <w:pPr>
        <w:spacing w:after="0" w:before="0"/>
      </w:pPr>
      <w:r>
        <w:rPr>
          <w:b w:val="0"/>
          <w:sz w:val="22"/>
        </w:rPr>
        <w:t>(a) Pelvic X-ray</w:t>
      </w:r>
    </w:p>
    <w:p>
      <w:pPr>
        <w:spacing w:after="0" w:before="0"/>
      </w:pPr>
      <w:r>
        <w:rPr>
          <w:b w:val="0"/>
          <w:sz w:val="22"/>
        </w:rPr>
        <w:t>(b) CT scan</w:t>
      </w:r>
    </w:p>
    <w:p>
      <w:pPr>
        <w:spacing w:after="0" w:before="0"/>
      </w:pPr>
      <w:r>
        <w:rPr>
          <w:b w:val="0"/>
          <w:sz w:val="22"/>
        </w:rPr>
        <w:t>(c) Obstetric Transabdominal / Transvaginal Ultrasonography (USG)</w:t>
      </w:r>
    </w:p>
    <w:p>
      <w:pPr>
        <w:spacing w:after="0" w:before="0"/>
      </w:pPr>
      <w:r>
        <w:rPr>
          <w:b w:val="0"/>
          <w:sz w:val="22"/>
        </w:rPr>
        <w:t>(d) MRI scan</w:t>
      </w:r>
    </w:p>
    <w:p>
      <w:pPr>
        <w:spacing w:after="0" w:before="40"/>
      </w:pPr>
      <w:r>
        <w:rPr>
          <w:b/>
          <w:sz w:val="22"/>
        </w:rPr>
        <w:t>Answer: c</w:t>
      </w:r>
    </w:p>
    <w:p>
      <w:pPr>
        <w:spacing w:after="0" w:before="0"/>
      </w:pPr>
      <w:r>
        <w:rPr>
          <w:b w:val="0"/>
          <w:sz w:val="21"/>
        </w:rPr>
        <w:t>Solution: Ultrasonography (USG) is the safe, non-invasive gold standard investigation to locate placental implantation site and diagnose placenta previa.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options describes orthopnea?</w:t>
      </w:r>
    </w:p>
    <w:p>
      <w:pPr>
        <w:spacing w:after="0" w:before="0"/>
      </w:pPr>
      <w:r>
        <w:rPr>
          <w:b w:val="0"/>
          <w:sz w:val="22"/>
        </w:rPr>
        <w:t>(a) Difficulty in breathing</w:t>
      </w:r>
    </w:p>
    <w:p>
      <w:pPr>
        <w:spacing w:after="0" w:before="0"/>
      </w:pPr>
      <w:r>
        <w:rPr>
          <w:b w:val="0"/>
          <w:sz w:val="22"/>
        </w:rPr>
        <w:t>(b) Slow breathing</w:t>
      </w:r>
    </w:p>
    <w:p>
      <w:pPr>
        <w:spacing w:after="0" w:before="0"/>
      </w:pPr>
      <w:r>
        <w:rPr>
          <w:b w:val="0"/>
          <w:sz w:val="22"/>
        </w:rPr>
        <w:t>(c) Rhythmic waxing and waning of respiration</w:t>
      </w:r>
    </w:p>
    <w:p>
      <w:pPr>
        <w:spacing w:after="0" w:before="0"/>
      </w:pPr>
      <w:r>
        <w:rPr>
          <w:b w:val="0"/>
          <w:sz w:val="22"/>
        </w:rPr>
        <w:t>(d) Ability to breath only in upright sitting or standing position</w:t>
      </w:r>
    </w:p>
    <w:p>
      <w:pPr>
        <w:spacing w:after="0" w:before="40"/>
      </w:pPr>
      <w:r>
        <w:rPr>
          <w:b/>
          <w:sz w:val="22"/>
        </w:rPr>
        <w:t>Answer: d</w:t>
      </w:r>
    </w:p>
    <w:p>
      <w:pPr>
        <w:spacing w:after="0" w:before="0"/>
      </w:pPr>
      <w:r>
        <w:rPr>
          <w:b w:val="0"/>
          <w:sz w:val="21"/>
        </w:rPr>
        <w:t>Solution: Orthopnea is the inability to breathe except in an upright (sitting or standing) position, seen in cardiac failure.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Copious eye irrigation with clean water or Normal Saline for 15-20 mins</w:t>
      </w:r>
    </w:p>
    <w:p>
      <w:pPr>
        <w:spacing w:after="0" w:before="0"/>
      </w:pPr>
      <w:r>
        <w:rPr>
          <w:b w:val="0"/>
          <w:sz w:val="22"/>
        </w:rPr>
        <w:t>(b) Administer oral analgesics</w:t>
      </w:r>
    </w:p>
    <w:p>
      <w:pPr>
        <w:spacing w:after="0" w:before="0"/>
      </w:pPr>
      <w:r>
        <w:rPr>
          <w:b w:val="0"/>
          <w:sz w:val="22"/>
        </w:rPr>
        <w:t>(c) Cover with tight pressure patch</w:t>
      </w:r>
    </w:p>
    <w:p>
      <w:pPr>
        <w:spacing w:after="0" w:before="0"/>
      </w:pPr>
      <w:r>
        <w:rPr>
          <w:b w:val="0"/>
          <w:sz w:val="22"/>
        </w:rPr>
        <w:t>(d) Attempt manual removal</w:t>
      </w:r>
    </w:p>
    <w:p>
      <w:pPr>
        <w:spacing w:after="0" w:before="40"/>
      </w:pPr>
      <w:r>
        <w:rPr>
          <w:b/>
          <w:sz w:val="22"/>
        </w:rPr>
        <w:t>Answer: a</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Avoid crowded place</w:t>
      </w:r>
    </w:p>
    <w:p>
      <w:pPr>
        <w:spacing w:after="0" w:before="0"/>
      </w:pPr>
      <w:r>
        <w:rPr>
          <w:b w:val="0"/>
          <w:sz w:val="22"/>
        </w:rPr>
        <w:t>(b) Brush two times</w:t>
      </w:r>
    </w:p>
    <w:p>
      <w:pPr>
        <w:spacing w:after="0" w:before="0"/>
      </w:pPr>
      <w:r>
        <w:rPr>
          <w:b w:val="0"/>
          <w:sz w:val="22"/>
        </w:rPr>
        <w:t>(c) Sitz bath</w:t>
      </w:r>
    </w:p>
    <w:p>
      <w:pPr>
        <w:spacing w:after="0" w:before="0"/>
      </w:pPr>
      <w:r>
        <w:rPr>
          <w:b w:val="0"/>
          <w:sz w:val="22"/>
        </w:rPr>
        <w:t>(d) Hand washing</w:t>
      </w:r>
    </w:p>
    <w:p>
      <w:pPr>
        <w:spacing w:after="0" w:before="40"/>
      </w:pPr>
      <w:r>
        <w:rPr>
          <w:b/>
          <w:sz w:val="22"/>
        </w:rPr>
        <w:t>Answer: c</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admitted to the ward and instructed by the nursing officer to use a trapeze bar while moving up in bed. This instruction helps prevent:</w:t>
      </w:r>
    </w:p>
    <w:p>
      <w:pPr>
        <w:spacing w:after="0" w:before="0"/>
      </w:pPr>
      <w:r>
        <w:rPr>
          <w:b w:val="0"/>
          <w:sz w:val="22"/>
        </w:rPr>
        <w:t>(a) Ischemia</w:t>
      </w:r>
    </w:p>
    <w:p>
      <w:pPr>
        <w:spacing w:after="0" w:before="0"/>
      </w:pPr>
      <w:r>
        <w:rPr>
          <w:b w:val="0"/>
          <w:sz w:val="22"/>
        </w:rPr>
        <w:t>(b) Friction</w:t>
      </w:r>
    </w:p>
    <w:p>
      <w:pPr>
        <w:spacing w:after="0" w:before="0"/>
      </w:pPr>
      <w:r>
        <w:rPr>
          <w:b w:val="0"/>
          <w:sz w:val="22"/>
        </w:rPr>
        <w:t>(c) Pressure</w:t>
      </w:r>
    </w:p>
    <w:p>
      <w:pPr>
        <w:spacing w:after="0" w:before="0"/>
      </w:pPr>
      <w:r>
        <w:rPr>
          <w:b w:val="0"/>
          <w:sz w:val="22"/>
        </w:rPr>
        <w:t>(d) Shearing</w:t>
      </w:r>
    </w:p>
    <w:p>
      <w:pPr>
        <w:spacing w:after="0" w:before="40"/>
      </w:pPr>
      <w:r>
        <w:rPr>
          <w:b/>
          <w:sz w:val="22"/>
        </w:rPr>
        <w:t>Answer: d</w:t>
      </w:r>
    </w:p>
    <w:p>
      <w:pPr>
        <w:spacing w:after="0" w:before="0"/>
      </w:pPr>
      <w:r>
        <w:rPr>
          <w:b w:val="0"/>
          <w:sz w:val="21"/>
        </w:rPr>
        <w:t>Solution: Instructing a patient to use a trapeze bar while moving up in bed helps prevent shearing (option A). Shearing refers to the force that occurs when layers of tissues slide in opposite directions. When a patient moves up in bed without proper assistance or support, shearing forces can lead to skin damage, particularly in vulnerable individuals with limited mobility. Using a trapeze bar allows the patient to exert an upward force on the bar while repositioning, reducing the shearing forces on the skin. This preventive measure is important for maintaining skin integrity and preventing pressure ulcers or other complications associated with shearing forces.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disease fall under National Vector Born Disease Control Program except</w:t>
      </w:r>
    </w:p>
    <w:p>
      <w:pPr>
        <w:spacing w:after="0" w:before="0"/>
      </w:pPr>
      <w:r>
        <w:rPr>
          <w:b w:val="0"/>
          <w:sz w:val="22"/>
        </w:rPr>
        <w:t>(a) Plague</w:t>
      </w:r>
    </w:p>
    <w:p>
      <w:pPr>
        <w:spacing w:after="0" w:before="0"/>
      </w:pPr>
      <w:r>
        <w:rPr>
          <w:b w:val="0"/>
          <w:sz w:val="22"/>
        </w:rPr>
        <w:t>(b) Dengue</w:t>
      </w:r>
    </w:p>
    <w:p>
      <w:pPr>
        <w:spacing w:after="0" w:before="0"/>
      </w:pPr>
      <w:r>
        <w:rPr>
          <w:b w:val="0"/>
          <w:sz w:val="22"/>
        </w:rPr>
        <w:t>(c) Filaria</w:t>
      </w:r>
    </w:p>
    <w:p>
      <w:pPr>
        <w:spacing w:after="0" w:before="0"/>
      </w:pPr>
      <w:r>
        <w:rPr>
          <w:b w:val="0"/>
          <w:sz w:val="22"/>
        </w:rPr>
        <w:t>(d) Chikungunya</w:t>
      </w:r>
    </w:p>
    <w:p>
      <w:pPr>
        <w:spacing w:after="0" w:before="40"/>
      </w:pPr>
      <w:r>
        <w:rPr>
          <w:b/>
          <w:sz w:val="22"/>
        </w:rPr>
        <w:t>Answer: a</w:t>
      </w:r>
    </w:p>
    <w:p>
      <w:pPr>
        <w:spacing w:after="0" w:before="0"/>
      </w:pPr>
      <w:r>
        <w:rPr>
          <w:b w:val="0"/>
          <w:sz w:val="21"/>
        </w:rPr>
        <w:t>Solution: Plague is not a vector-borne disease included under NVBDCP; filaria, chikungunya and dengue 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Hyperglycemia</w:t>
      </w:r>
    </w:p>
    <w:p>
      <w:pPr>
        <w:spacing w:after="0" w:before="0"/>
      </w:pPr>
      <w:r>
        <w:rPr>
          <w:b w:val="0"/>
          <w:sz w:val="22"/>
        </w:rPr>
        <w:t>(b) Hypovolaemic shock</w:t>
      </w:r>
    </w:p>
    <w:p>
      <w:pPr>
        <w:spacing w:after="0" w:before="0"/>
      </w:pPr>
      <w:r>
        <w:rPr>
          <w:b w:val="0"/>
          <w:sz w:val="22"/>
        </w:rPr>
        <w:t>(c) Hyperkalemia only</w:t>
      </w:r>
    </w:p>
    <w:p>
      <w:pPr>
        <w:spacing w:after="0" w:before="0"/>
      </w:pPr>
      <w:r>
        <w:rPr>
          <w:b w:val="0"/>
          <w:sz w:val="22"/>
        </w:rPr>
        <w:t>(d) Constipation</w:t>
      </w:r>
    </w:p>
    <w:p>
      <w:pPr>
        <w:spacing w:after="0" w:before="40"/>
      </w:pPr>
      <w:r>
        <w:rPr>
          <w:b/>
          <w:sz w:val="22"/>
        </w:rPr>
        <w:t>Answer: b</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done in the diagnosis of:</w:t>
      </w:r>
    </w:p>
    <w:p>
      <w:pPr>
        <w:spacing w:after="0" w:before="0"/>
      </w:pPr>
      <w:r>
        <w:rPr>
          <w:b w:val="0"/>
          <w:sz w:val="22"/>
        </w:rPr>
        <w:t>(a) Enteric fever</w:t>
      </w:r>
    </w:p>
    <w:p>
      <w:pPr>
        <w:spacing w:after="0" w:before="0"/>
      </w:pPr>
      <w:r>
        <w:rPr>
          <w:b w:val="0"/>
          <w:sz w:val="22"/>
        </w:rPr>
        <w:t>(b) Rheumatic fever</w:t>
      </w:r>
    </w:p>
    <w:p>
      <w:pPr>
        <w:spacing w:after="0" w:before="0"/>
      </w:pPr>
      <w:r>
        <w:rPr>
          <w:b w:val="0"/>
          <w:sz w:val="22"/>
        </w:rPr>
        <w:t>(c) Dengue fever</w:t>
      </w:r>
    </w:p>
    <w:p>
      <w:pPr>
        <w:spacing w:after="0" w:before="0"/>
      </w:pPr>
      <w:r>
        <w:rPr>
          <w:b w:val="0"/>
          <w:sz w:val="22"/>
        </w:rPr>
        <w:t>(d) Hay fever</w:t>
      </w:r>
    </w:p>
    <w:p>
      <w:pPr>
        <w:spacing w:after="0" w:before="40"/>
      </w:pPr>
      <w:r>
        <w:rPr>
          <w:b/>
          <w:sz w:val="22"/>
        </w:rPr>
        <w:t>Answer: a</w:t>
      </w:r>
    </w:p>
    <w:p>
      <w:pPr>
        <w:spacing w:after="0" w:before="0"/>
      </w:pPr>
      <w:r>
        <w:rPr>
          <w:b w:val="0"/>
          <w:sz w:val="21"/>
        </w:rPr>
        <w:t>Solution: The Widal test is used in the diagnosis of enteric (typhoid) fever caused by Salmonella typhi.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Incubation period is measured by which central tendency?</w:t>
      </w:r>
    </w:p>
    <w:p>
      <w:pPr>
        <w:spacing w:after="0" w:before="0"/>
      </w:pPr>
      <w:r>
        <w:rPr>
          <w:b w:val="0"/>
          <w:sz w:val="22"/>
        </w:rPr>
        <w:t>(a) Mean</w:t>
      </w:r>
    </w:p>
    <w:p>
      <w:pPr>
        <w:spacing w:after="0" w:before="0"/>
      </w:pPr>
      <w:r>
        <w:rPr>
          <w:b w:val="0"/>
          <w:sz w:val="22"/>
        </w:rPr>
        <w:t>(b) Mode</w:t>
      </w:r>
    </w:p>
    <w:p>
      <w:pPr>
        <w:spacing w:after="0" w:before="0"/>
      </w:pPr>
      <w:r>
        <w:rPr>
          <w:b w:val="0"/>
          <w:sz w:val="22"/>
        </w:rPr>
        <w:t>(c) Median</w:t>
      </w:r>
    </w:p>
    <w:p>
      <w:pPr>
        <w:spacing w:after="0" w:before="0"/>
      </w:pPr>
      <w:r>
        <w:rPr>
          <w:b w:val="0"/>
          <w:sz w:val="22"/>
        </w:rPr>
        <w:t>(d) Standard deviation</w:t>
      </w:r>
    </w:p>
    <w:p>
      <w:pPr>
        <w:spacing w:after="0" w:before="40"/>
      </w:pPr>
      <w:r>
        <w:rPr>
          <w:b/>
          <w:sz w:val="22"/>
        </w:rPr>
        <w:t>Answer: c</w:t>
      </w:r>
    </w:p>
    <w:p>
      <w:pPr>
        <w:spacing w:after="0" w:before="0"/>
      </w:pPr>
      <w:r>
        <w:rPr>
          <w:b w:val="0"/>
          <w:sz w:val="21"/>
        </w:rPr>
        <w:t>Solution: The incubation period, which refers to the time between exposure to a pathogen and the onset of symptoms, is typically measured using the median as a central tendency. The median represents the middle value in a set of data when arranged in ascending or descending order. In the context of the incubation period, the median provides a measure of the central tendency that indicates the typical or most common duration of time from exposure to symptom onset. It is important to note that the incubation central Tendency C mean , median moder standard deviation (statistics) period can vary depending on the specific infectious agent and individual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antidote for opioid overdose is:</w:t>
      </w:r>
    </w:p>
    <w:p>
      <w:pPr>
        <w:spacing w:after="0" w:before="0"/>
      </w:pPr>
      <w:r>
        <w:rPr>
          <w:b w:val="0"/>
          <w:sz w:val="22"/>
        </w:rPr>
        <w:t>(a) Naloxone</w:t>
      </w:r>
    </w:p>
    <w:p>
      <w:pPr>
        <w:spacing w:after="0" w:before="0"/>
      </w:pPr>
      <w:r>
        <w:rPr>
          <w:b w:val="0"/>
          <w:sz w:val="22"/>
        </w:rPr>
        <w:t>(b) Protamine sulphate</w:t>
      </w:r>
    </w:p>
    <w:p>
      <w:pPr>
        <w:spacing w:after="0" w:before="0"/>
      </w:pPr>
      <w:r>
        <w:rPr>
          <w:b w:val="0"/>
          <w:sz w:val="22"/>
        </w:rPr>
        <w:t>(c) Atropine</w:t>
      </w:r>
    </w:p>
    <w:p>
      <w:pPr>
        <w:spacing w:after="0" w:before="0"/>
      </w:pPr>
      <w:r>
        <w:rPr>
          <w:b w:val="0"/>
          <w:sz w:val="22"/>
        </w:rPr>
        <w:t>(d) Flumazenil</w:t>
      </w:r>
    </w:p>
    <w:p>
      <w:pPr>
        <w:spacing w:after="0" w:before="40"/>
      </w:pPr>
      <w:r>
        <w:rPr>
          <w:b/>
          <w:sz w:val="22"/>
        </w:rPr>
        <w:t>Answer: a</w:t>
      </w:r>
    </w:p>
    <w:p>
      <w:pPr>
        <w:spacing w:after="0" w:before="0"/>
      </w:pPr>
      <w:r>
        <w:rPr>
          <w:b w:val="0"/>
          <w:sz w:val="21"/>
        </w:rPr>
        <w:t>Solution: Naloxone (Narcan) is a competitive opioid antagonist used to reverse opioid-induced respiratory depression.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type 1 diabetes mellitus is found unresponsive in bed. What is the nurse's FIRST action?</w:t>
      </w:r>
    </w:p>
    <w:p>
      <w:pPr>
        <w:spacing w:after="0" w:before="0"/>
      </w:pPr>
      <w:r>
        <w:rPr>
          <w:b w:val="0"/>
          <w:sz w:val="22"/>
        </w:rPr>
        <w:t>(a) Administer 50% dextrose IV</w:t>
      </w:r>
    </w:p>
    <w:p>
      <w:pPr>
        <w:spacing w:after="0" w:before="0"/>
      </w:pPr>
      <w:r>
        <w:rPr>
          <w:b w:val="0"/>
          <w:sz w:val="22"/>
        </w:rPr>
        <w:t>(b) Give glucagon IM</w:t>
      </w:r>
    </w:p>
    <w:p>
      <w:pPr>
        <w:spacing w:after="0" w:before="0"/>
      </w:pPr>
      <w:r>
        <w:rPr>
          <w:b w:val="0"/>
          <w:sz w:val="22"/>
        </w:rPr>
        <w:t>(c) Check the blood glucose level</w:t>
      </w:r>
    </w:p>
    <w:p>
      <w:pPr>
        <w:spacing w:after="0" w:before="0"/>
      </w:pPr>
      <w:r>
        <w:rPr>
          <w:b w:val="0"/>
          <w:sz w:val="22"/>
        </w:rPr>
        <w:t>(d) Notify the health care provider</w:t>
      </w:r>
    </w:p>
    <w:p>
      <w:pPr>
        <w:spacing w:after="0" w:before="40"/>
      </w:pPr>
      <w:r>
        <w:rPr>
          <w:b/>
          <w:sz w:val="22"/>
        </w:rPr>
        <w:t>Answer: c</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