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nurse should position a patient after lumbar puncture in:</w:t>
      </w:r>
    </w:p>
    <w:p>
      <w:pPr>
        <w:spacing w:after="0" w:before="0"/>
      </w:pPr>
      <w:r>
        <w:rPr>
          <w:b w:val="0"/>
          <w:sz w:val="22"/>
        </w:rPr>
        <w:t>(a) Trendelenburg</w:t>
      </w:r>
    </w:p>
    <w:p>
      <w:pPr>
        <w:spacing w:after="0" w:before="0"/>
      </w:pPr>
      <w:r>
        <w:rPr>
          <w:b w:val="0"/>
          <w:sz w:val="22"/>
        </w:rPr>
        <w:t>(b) Prone</w:t>
      </w:r>
    </w:p>
    <w:p>
      <w:pPr>
        <w:spacing w:after="0" w:before="0"/>
      </w:pPr>
      <w:r>
        <w:rPr>
          <w:b w:val="0"/>
          <w:sz w:val="22"/>
        </w:rPr>
        <w:t>(c) Flat (supine) for a few hours</w:t>
      </w:r>
    </w:p>
    <w:p>
      <w:pPr>
        <w:spacing w:after="0" w:before="0"/>
      </w:pPr>
      <w:r>
        <w:rPr>
          <w:b w:val="0"/>
          <w:sz w:val="22"/>
        </w:rPr>
        <w:t>(d) Sitting upright</w:t>
      </w:r>
    </w:p>
    <w:p>
      <w:pPr>
        <w:spacing w:after="0" w:before="40"/>
      </w:pPr>
      <w:r>
        <w:rPr>
          <w:b/>
          <w:sz w:val="22"/>
        </w:rPr>
        <w:t>Answer: c</w:t>
      </w:r>
    </w:p>
    <w:p>
      <w:pPr>
        <w:spacing w:after="0" w:before="0"/>
      </w:pPr>
      <w:r>
        <w:rPr>
          <w:b w:val="0"/>
          <w:sz w:val="21"/>
        </w:rPr>
        <w:t>Solution: The patient lies flat for a few hours after lumbar puncture to prevent post-dural puncture headache.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food group serves as the richest dietary source of Folic Acid (Vitamin B9)?</w:t>
      </w:r>
    </w:p>
    <w:p>
      <w:pPr>
        <w:spacing w:after="0" w:before="0"/>
      </w:pPr>
      <w:r>
        <w:rPr>
          <w:b w:val="0"/>
          <w:sz w:val="22"/>
        </w:rPr>
        <w:t>(a) Banana</w:t>
      </w:r>
    </w:p>
    <w:p>
      <w:pPr>
        <w:spacing w:after="0" w:before="0"/>
      </w:pPr>
      <w:r>
        <w:rPr>
          <w:b w:val="0"/>
          <w:sz w:val="22"/>
        </w:rPr>
        <w:t>(b) Red meat</w:t>
      </w:r>
    </w:p>
    <w:p>
      <w:pPr>
        <w:spacing w:after="0" w:before="0"/>
      </w:pPr>
      <w:r>
        <w:rPr>
          <w:b w:val="0"/>
          <w:sz w:val="22"/>
        </w:rPr>
        <w:t>(c) Dark green leafy vegetables</w:t>
      </w:r>
    </w:p>
    <w:p>
      <w:pPr>
        <w:spacing w:after="0" w:before="0"/>
      </w:pPr>
      <w:r>
        <w:rPr>
          <w:b w:val="0"/>
          <w:sz w:val="22"/>
        </w:rPr>
        <w:t>(d) Whole milk</w:t>
      </w:r>
    </w:p>
    <w:p>
      <w:pPr>
        <w:spacing w:after="0" w:before="40"/>
      </w:pPr>
      <w:r>
        <w:rPr>
          <w:b/>
          <w:sz w:val="22"/>
        </w:rPr>
        <w:t>Answer: c</w:t>
      </w:r>
    </w:p>
    <w:p>
      <w:pPr>
        <w:spacing w:after="0" w:before="0"/>
      </w:pPr>
      <w:r>
        <w:rPr>
          <w:b w:val="0"/>
          <w:sz w:val="21"/>
        </w:rPr>
        <w:t>Solution: Dark green leafy vegetables (spinach, kale, broccoli), legumes, and liver are the richest natural sources of Folic Acid (Folate).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the active phase of the first stage of labor, the nurse assesses the cervical dilation and documents it as:</w:t>
      </w:r>
    </w:p>
    <w:p>
      <w:pPr>
        <w:spacing w:after="0" w:before="0"/>
      </w:pPr>
      <w:r>
        <w:rPr>
          <w:b w:val="0"/>
          <w:sz w:val="22"/>
        </w:rPr>
        <w:t>(a) 8-10 cm</w:t>
      </w:r>
    </w:p>
    <w:p>
      <w:pPr>
        <w:spacing w:after="0" w:before="0"/>
      </w:pPr>
      <w:r>
        <w:rPr>
          <w:b w:val="0"/>
          <w:sz w:val="22"/>
        </w:rPr>
        <w:t>(b) 4-7 cm</w:t>
      </w:r>
    </w:p>
    <w:p>
      <w:pPr>
        <w:spacing w:after="0" w:before="0"/>
      </w:pPr>
      <w:r>
        <w:rPr>
          <w:b w:val="0"/>
          <w:sz w:val="22"/>
        </w:rPr>
        <w:t>(c) 2-5 cm</w:t>
      </w:r>
    </w:p>
    <w:p>
      <w:pPr>
        <w:spacing w:after="0" w:before="0"/>
      </w:pPr>
      <w:r>
        <w:rPr>
          <w:b w:val="0"/>
          <w:sz w:val="22"/>
        </w:rPr>
        <w:t>(d) 1-3 cm</w:t>
      </w:r>
    </w:p>
    <w:p>
      <w:pPr>
        <w:spacing w:after="0" w:before="40"/>
      </w:pPr>
      <w:r>
        <w:rPr>
          <w:b/>
          <w:sz w:val="22"/>
        </w:rPr>
        <w:t>Answer: b</w:t>
      </w:r>
    </w:p>
    <w:p>
      <w:pPr>
        <w:spacing w:after="0" w:before="0"/>
      </w:pPr>
      <w:r>
        <w:rPr>
          <w:b w:val="0"/>
          <w:sz w:val="21"/>
        </w:rPr>
        <w:t>Solution: During the active phase of the first stage of labor, the cervix begins to dilate more quickly. The nurse assesses the cervical dilation by performing a vaginal examination and measures the cervical opening in centimeters (cm). The nurse documents the cervical dilation as 4-7 cm, as this is the range of cervical dilation expected during the active phase of labor. It is important for the nurse to document the cervical dilation accurately to monitor the progress of labor and determine when it is time to prepare for delivery labor (</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cause of delirium in older adults?</w:t>
      </w:r>
    </w:p>
    <w:p>
      <w:pPr>
        <w:spacing w:after="0" w:before="0"/>
      </w:pPr>
      <w:r>
        <w:rPr>
          <w:b w:val="0"/>
          <w:sz w:val="22"/>
        </w:rPr>
        <w:t>(a) Dementia</w:t>
      </w:r>
    </w:p>
    <w:p>
      <w:pPr>
        <w:spacing w:after="0" w:before="0"/>
      </w:pPr>
      <w:r>
        <w:rPr>
          <w:b w:val="0"/>
          <w:sz w:val="22"/>
        </w:rPr>
        <w:t>(b) Alcohol withdrawal</w:t>
      </w:r>
    </w:p>
    <w:p>
      <w:pPr>
        <w:spacing w:after="0" w:before="0"/>
      </w:pPr>
      <w:r>
        <w:rPr>
          <w:b w:val="0"/>
          <w:sz w:val="22"/>
        </w:rPr>
        <w:t>(c) Long term medicine</w:t>
      </w:r>
    </w:p>
    <w:p>
      <w:pPr>
        <w:spacing w:after="0" w:before="0"/>
      </w:pPr>
      <w:r>
        <w:rPr>
          <w:b w:val="0"/>
          <w:sz w:val="22"/>
        </w:rPr>
        <w:t>(d) Hypoxia</w:t>
      </w:r>
    </w:p>
    <w:p>
      <w:pPr>
        <w:spacing w:after="0" w:before="40"/>
      </w:pPr>
      <w:r>
        <w:rPr>
          <w:b/>
          <w:sz w:val="22"/>
        </w:rPr>
        <w:t>Answer: a</w:t>
      </w:r>
    </w:p>
    <w:p>
      <w:pPr>
        <w:spacing w:after="0" w:before="0"/>
      </w:pPr>
      <w:r>
        <w:rPr>
          <w:b w:val="0"/>
          <w:sz w:val="21"/>
        </w:rPr>
        <w:t>Solution: Older adults with dementia may be more susceptible to delirium due to the underlying brain changes and increased vulnerability to medical conditions, infections, and other factors that can trigger delirium.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Caudal regression syndrome primarily affects which body system?</w:t>
      </w:r>
    </w:p>
    <w:p>
      <w:pPr>
        <w:spacing w:after="0" w:before="0"/>
      </w:pPr>
      <w:r>
        <w:rPr>
          <w:b w:val="0"/>
          <w:sz w:val="22"/>
        </w:rPr>
        <w:t>(a) Nervous system</w:t>
      </w:r>
    </w:p>
    <w:p>
      <w:pPr>
        <w:spacing w:after="0" w:before="0"/>
      </w:pPr>
      <w:r>
        <w:rPr>
          <w:b w:val="0"/>
          <w:sz w:val="22"/>
        </w:rPr>
        <w:t>(b) Cardiovascular system</w:t>
      </w:r>
    </w:p>
    <w:p>
      <w:pPr>
        <w:spacing w:after="0" w:before="0"/>
      </w:pPr>
      <w:r>
        <w:rPr>
          <w:b w:val="0"/>
          <w:sz w:val="22"/>
        </w:rPr>
        <w:t>(c) Integumentry system</w:t>
      </w:r>
    </w:p>
    <w:p>
      <w:pPr>
        <w:spacing w:after="0" w:before="0"/>
      </w:pPr>
      <w:r>
        <w:rPr>
          <w:b w:val="0"/>
          <w:sz w:val="22"/>
        </w:rPr>
        <w:t>(d) Musculoskeletal system</w:t>
      </w:r>
    </w:p>
    <w:p>
      <w:pPr>
        <w:spacing w:after="0" w:before="40"/>
      </w:pPr>
      <w:r>
        <w:rPr>
          <w:b/>
          <w:sz w:val="22"/>
        </w:rPr>
        <w:t>Answer: d</w:t>
      </w:r>
    </w:p>
    <w:p>
      <w:pPr>
        <w:spacing w:after="0" w:before="0"/>
      </w:pPr>
      <w:r>
        <w:rPr>
          <w:b w:val="0"/>
          <w:sz w:val="21"/>
        </w:rPr>
        <w:t>Solution: Caudal regression syndrome primarily affects the musculoskeletal system (option D). Caudal regression syndrome is a rare congenital disorder that involves abnormal development of the lower spine and other structures in the lower body. It is characterized by the absence or underdevelopment of the tailbone (coccyx) and varying degrees of malformation in the lower spine, pelvis, and lower extremities. The nervous system (option A) can also be affected, leading to neurological deficits, but the primary impact is on the musculoskeletal system. The cardiovascular system (option B) and integumentary system (option C) may be indirectly influenced by the skeletal and neural abnormalities.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psychiatric medication lowers the seizure threshold and requires seizure precautions?</w:t>
      </w:r>
    </w:p>
    <w:p>
      <w:pPr>
        <w:spacing w:after="0" w:before="0"/>
      </w:pPr>
      <w:r>
        <w:rPr>
          <w:b w:val="0"/>
          <w:sz w:val="22"/>
        </w:rPr>
        <w:t>(a) Lithium</w:t>
      </w:r>
    </w:p>
    <w:p>
      <w:pPr>
        <w:spacing w:after="0" w:before="0"/>
      </w:pPr>
      <w:r>
        <w:rPr>
          <w:b w:val="0"/>
          <w:sz w:val="22"/>
        </w:rPr>
        <w:t>(b) Barbiturates</w:t>
      </w:r>
    </w:p>
    <w:p>
      <w:pPr>
        <w:spacing w:after="0" w:before="0"/>
      </w:pPr>
      <w:r>
        <w:rPr>
          <w:b w:val="0"/>
          <w:sz w:val="22"/>
        </w:rPr>
        <w:t>(c) Anticonvulsants</w:t>
      </w:r>
    </w:p>
    <w:p>
      <w:pPr>
        <w:spacing w:after="0" w:before="0"/>
      </w:pPr>
      <w:r>
        <w:rPr>
          <w:b w:val="0"/>
          <w:sz w:val="22"/>
        </w:rPr>
        <w:t>(d) Benzodiazepines</w:t>
      </w:r>
    </w:p>
    <w:p>
      <w:pPr>
        <w:spacing w:after="0" w:before="40"/>
      </w:pPr>
      <w:r>
        <w:rPr>
          <w:b/>
          <w:sz w:val="22"/>
        </w:rPr>
        <w:t>Answer: a</w:t>
      </w:r>
    </w:p>
    <w:p>
      <w:pPr>
        <w:spacing w:after="0" w:before="0"/>
      </w:pPr>
      <w:r>
        <w:rPr>
          <w:b w:val="0"/>
          <w:sz w:val="21"/>
        </w:rPr>
        <w:t>Solution: Lithium carbonate can lower the seizure threshold, especially at toxic serum levels (&gt;1.5 mEq/L) or when combined with antipsychotics.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Hand washing</w:t>
      </w:r>
    </w:p>
    <w:p>
      <w:pPr>
        <w:spacing w:after="0" w:before="0"/>
      </w:pPr>
      <w:r>
        <w:rPr>
          <w:b w:val="0"/>
          <w:sz w:val="22"/>
        </w:rPr>
        <w:t>(c) Sitz bath</w:t>
      </w:r>
    </w:p>
    <w:p>
      <w:pPr>
        <w:spacing w:after="0" w:before="0"/>
      </w:pPr>
      <w:r>
        <w:rPr>
          <w:b w:val="0"/>
          <w:sz w:val="22"/>
        </w:rPr>
        <w:t>(d) Avoid crowded place</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bone is known as breast bone?</w:t>
      </w:r>
    </w:p>
    <w:p>
      <w:pPr>
        <w:spacing w:after="0" w:before="0"/>
      </w:pPr>
      <w:r>
        <w:rPr>
          <w:b w:val="0"/>
          <w:sz w:val="22"/>
        </w:rPr>
        <w:t>(a) Femur</w:t>
      </w:r>
    </w:p>
    <w:p>
      <w:pPr>
        <w:spacing w:after="0" w:before="0"/>
      </w:pPr>
      <w:r>
        <w:rPr>
          <w:b w:val="0"/>
          <w:sz w:val="22"/>
        </w:rPr>
        <w:t>(b) Humerus</w:t>
      </w:r>
    </w:p>
    <w:p>
      <w:pPr>
        <w:spacing w:after="0" w:before="0"/>
      </w:pPr>
      <w:r>
        <w:rPr>
          <w:b w:val="0"/>
          <w:sz w:val="22"/>
        </w:rPr>
        <w:t>(c) Sternum</w:t>
      </w:r>
    </w:p>
    <w:p>
      <w:pPr>
        <w:spacing w:after="0" w:before="0"/>
      </w:pPr>
      <w:r>
        <w:rPr>
          <w:b w:val="0"/>
          <w:sz w:val="22"/>
        </w:rPr>
        <w:t>(d) Ribs</w:t>
      </w:r>
    </w:p>
    <w:p>
      <w:pPr>
        <w:spacing w:after="0" w:before="40"/>
      </w:pPr>
      <w:r>
        <w:rPr>
          <w:b/>
          <w:sz w:val="22"/>
        </w:rPr>
        <w:t>Answer: c</w:t>
      </w:r>
    </w:p>
    <w:p>
      <w:pPr>
        <w:spacing w:after="0" w:before="0"/>
      </w:pPr>
      <w:r>
        <w:rPr>
          <w:b w:val="0"/>
          <w:sz w:val="21"/>
        </w:rPr>
        <w:t>Solution: The bone known as the breastbone is the sternum (option B). The sternum is a flat bone located in the center of the chest. It is connected to the ribs through cartilage and forms the anterior part of the rib cage. The sternum consists of three parts: the manubrium, the body, and the xiphoid process. The sternum provides protection to vital organs in the chest, including the heart and lungs. It also serves as an attachment site for various muscles involved in respiration and movement of the upper limbs.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patient death, the subjective emotional and psychological process experienced by surviving loved ones is called</w:t>
      </w:r>
    </w:p>
    <w:p>
      <w:pPr>
        <w:spacing w:after="0" w:before="0"/>
      </w:pPr>
      <w:r>
        <w:rPr>
          <w:b w:val="0"/>
          <w:sz w:val="22"/>
        </w:rPr>
        <w:t>(a) Grief</w:t>
      </w:r>
    </w:p>
    <w:p>
      <w:pPr>
        <w:spacing w:after="0" w:before="0"/>
      </w:pPr>
      <w:r>
        <w:rPr>
          <w:b w:val="0"/>
          <w:sz w:val="22"/>
        </w:rPr>
        <w:t>(b) Compliance</w:t>
      </w:r>
    </w:p>
    <w:p>
      <w:pPr>
        <w:spacing w:after="0" w:before="0"/>
      </w:pPr>
      <w:r>
        <w:rPr>
          <w:b w:val="0"/>
          <w:sz w:val="22"/>
        </w:rPr>
        <w:t>(c) Bereavement</w:t>
      </w:r>
    </w:p>
    <w:p>
      <w:pPr>
        <w:spacing w:after="0" w:before="0"/>
      </w:pPr>
      <w:r>
        <w:rPr>
          <w:b w:val="0"/>
          <w:sz w:val="22"/>
        </w:rPr>
        <w:t>(d) Mourning</w:t>
      </w:r>
    </w:p>
    <w:p>
      <w:pPr>
        <w:spacing w:after="0" w:before="40"/>
      </w:pPr>
      <w:r>
        <w:rPr>
          <w:b/>
          <w:sz w:val="22"/>
        </w:rPr>
        <w:t>Answer: a</w:t>
      </w:r>
    </w:p>
    <w:p>
      <w:pPr>
        <w:spacing w:after="0" w:before="0"/>
      </w:pPr>
      <w:r>
        <w:rPr>
          <w:b w:val="0"/>
          <w:sz w:val="21"/>
        </w:rPr>
        <w:t>Solution: Grief is the intense subjective emotional response experienced in reaction to a significant loss or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Recurrent laryngeal nerve injury - reassure the client</w:t>
      </w:r>
    </w:p>
    <w:p>
      <w:pPr>
        <w:spacing w:after="0" w:before="0"/>
      </w:pPr>
      <w:r>
        <w:rPr>
          <w:b w:val="0"/>
          <w:sz w:val="22"/>
        </w:rPr>
        <w:t>(b) Laryngeal edema with airway obstruction - prepare for emergency airway management</w:t>
      </w:r>
    </w:p>
    <w:p>
      <w:pPr>
        <w:spacing w:after="0" w:before="0"/>
      </w:pPr>
      <w:r>
        <w:rPr>
          <w:b w:val="0"/>
          <w:sz w:val="22"/>
        </w:rPr>
        <w:t>(c) Normal postoperative hoarseness - continue to observe</w:t>
      </w:r>
    </w:p>
    <w:p>
      <w:pPr>
        <w:spacing w:after="0" w:before="0"/>
      </w:pPr>
      <w:r>
        <w:rPr>
          <w:b w:val="0"/>
          <w:sz w:val="22"/>
        </w:rPr>
        <w:t>(d) Hypocalcemia - check calcium level</w:t>
      </w:r>
    </w:p>
    <w:p>
      <w:pPr>
        <w:spacing w:after="0" w:before="40"/>
      </w:pPr>
      <w:r>
        <w:rPr>
          <w:b/>
          <w:sz w:val="22"/>
        </w:rPr>
        <w:t>Answer: b</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component is NOT included in the Physical Quality of Life Index (PQLI)?</w:t>
      </w:r>
    </w:p>
    <w:p>
      <w:pPr>
        <w:spacing w:after="0" w:before="0"/>
      </w:pPr>
      <w:r>
        <w:rPr>
          <w:b w:val="0"/>
          <w:sz w:val="22"/>
        </w:rPr>
        <w:t>(a) Per capita Income</w:t>
      </w:r>
    </w:p>
    <w:p>
      <w:pPr>
        <w:spacing w:after="0" w:before="0"/>
      </w:pPr>
      <w:r>
        <w:rPr>
          <w:b w:val="0"/>
          <w:sz w:val="22"/>
        </w:rPr>
        <w:t>(b) Life expectancy at one</w:t>
      </w:r>
    </w:p>
    <w:p>
      <w:pPr>
        <w:spacing w:after="0" w:before="0"/>
      </w:pPr>
      <w:r>
        <w:rPr>
          <w:b w:val="0"/>
          <w:sz w:val="22"/>
        </w:rPr>
        <w:t>(c) Basic literacy rate</w:t>
      </w:r>
    </w:p>
    <w:p>
      <w:pPr>
        <w:spacing w:after="0" w:before="0"/>
      </w:pPr>
      <w:r>
        <w:rPr>
          <w:b w:val="0"/>
          <w:sz w:val="22"/>
        </w:rPr>
        <w:t>(d) IMR</w:t>
      </w:r>
    </w:p>
    <w:p>
      <w:pPr>
        <w:spacing w:after="0" w:before="40"/>
      </w:pPr>
      <w:r>
        <w:rPr>
          <w:b/>
          <w:sz w:val="22"/>
        </w:rPr>
        <w:t>Answer: a</w:t>
      </w:r>
    </w:p>
    <w:p>
      <w:pPr>
        <w:spacing w:after="0" w:before="0"/>
      </w:pPr>
      <w:r>
        <w:rPr>
          <w:b w:val="0"/>
          <w:sz w:val="21"/>
        </w:rPr>
        <w:t>Solution: The component NOT included in the Physical Quality of Life Index (PQLI) is per capita income. The PQLI is a composite index used to measure the quality of life in different countries. It incorporates three basic components: life expectancy at birth, infant mortality rate (IMR), and basic literacy rate. These components provide insights into the overall health, education, and well-being of the population. However, per capita income, although an important indicator of economic well-being, is not included in the PQLI.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bus related to bus depo then aeroplane is related to?</w:t>
      </w:r>
    </w:p>
    <w:p>
      <w:pPr>
        <w:spacing w:after="0" w:before="0"/>
      </w:pPr>
      <w:r>
        <w:rPr>
          <w:b w:val="0"/>
          <w:sz w:val="22"/>
        </w:rPr>
        <w:t>(a) Garage</w:t>
      </w:r>
    </w:p>
    <w:p>
      <w:pPr>
        <w:spacing w:after="0" w:before="0"/>
      </w:pPr>
      <w:r>
        <w:rPr>
          <w:b w:val="0"/>
          <w:sz w:val="22"/>
        </w:rPr>
        <w:t>(b) Yard</w:t>
      </w:r>
    </w:p>
    <w:p>
      <w:pPr>
        <w:spacing w:after="0" w:before="0"/>
      </w:pPr>
      <w:r>
        <w:rPr>
          <w:b w:val="0"/>
          <w:sz w:val="22"/>
        </w:rPr>
        <w:t>(c) Airport</w:t>
      </w:r>
    </w:p>
    <w:p>
      <w:pPr>
        <w:spacing w:after="0" w:before="0"/>
      </w:pPr>
      <w:r>
        <w:rPr>
          <w:b w:val="0"/>
          <w:sz w:val="22"/>
        </w:rPr>
        <w:t>(d) Hangar</w:t>
      </w:r>
    </w:p>
    <w:p>
      <w:pPr>
        <w:spacing w:after="0" w:before="40"/>
      </w:pPr>
      <w:r>
        <w:rPr>
          <w:b/>
          <w:sz w:val="22"/>
        </w:rPr>
        <w:t>Answer: d</w:t>
      </w:r>
    </w:p>
    <w:p>
      <w:pPr>
        <w:spacing w:after="0" w:before="0"/>
      </w:pPr>
      <w:r>
        <w:rPr>
          <w:b w:val="0"/>
          <w:sz w:val="21"/>
        </w:rPr>
        <w:t>Solution: If a bus is related to the bus depot, then an airplane is related to a hangar (option D). A bus depot is a designated area where buses are parked, maintained, and serviced. Similarly, an airplane is commonly stored, maintained, and sheltered in a hangar. A hangar is a large structure or building specifically designed to accommodate and protect aircraft. It provides storage, maintenance facilities, and a controlled environment for airplanes. Just as a bus is associated with a bus depot, an airplane is associated with a hangar for proper storage, maintenance, and security.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considered the best site for intramuscular (IM) injection in an infant?</w:t>
      </w:r>
    </w:p>
    <w:p>
      <w:pPr>
        <w:spacing w:after="0" w:before="0"/>
      </w:pPr>
      <w:r>
        <w:rPr>
          <w:b w:val="0"/>
          <w:sz w:val="22"/>
        </w:rPr>
        <w:t>(a) Dorsogluteal muscles</w:t>
      </w:r>
    </w:p>
    <w:p>
      <w:pPr>
        <w:spacing w:after="0" w:before="0"/>
      </w:pPr>
      <w:r>
        <w:rPr>
          <w:b w:val="0"/>
          <w:sz w:val="22"/>
        </w:rPr>
        <w:t>(b) Femoral muscle</w:t>
      </w:r>
    </w:p>
    <w:p>
      <w:pPr>
        <w:spacing w:after="0" w:before="0"/>
      </w:pPr>
      <w:r>
        <w:rPr>
          <w:b w:val="0"/>
          <w:sz w:val="22"/>
        </w:rPr>
        <w:t>(c) Vastus lateralis muscles</w:t>
      </w:r>
    </w:p>
    <w:p>
      <w:pPr>
        <w:spacing w:after="0" w:before="0"/>
      </w:pPr>
      <w:r>
        <w:rPr>
          <w:b w:val="0"/>
          <w:sz w:val="22"/>
        </w:rPr>
        <w:t>(d) Deltoid muscles</w:t>
      </w:r>
    </w:p>
    <w:p>
      <w:pPr>
        <w:spacing w:after="0" w:before="40"/>
      </w:pPr>
      <w:r>
        <w:rPr>
          <w:b/>
          <w:sz w:val="22"/>
        </w:rPr>
        <w:t>Answer: c</w:t>
      </w:r>
    </w:p>
    <w:p>
      <w:pPr>
        <w:spacing w:after="0" w:before="0"/>
      </w:pPr>
      <w:r>
        <w:rPr>
          <w:b w:val="0"/>
          <w:sz w:val="21"/>
        </w:rPr>
        <w:t>Solution: The best site for intramuscular (IM) injection in an infant is the vastus lateralis muscle. The vastus lateralis is located on the anterior lateral aspect of the thigh. It is a large, well-developed muscle in infants and young children, making it an ideal site for IM injections. The muscle has a thick mass of tissue and is less susceptible to injury or nerve damage during the injection. Additionally, the vastus lateralis has a good blood supply, allowing for efficient absorption of the medication.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Covid face shield is sterilized by?</w:t>
      </w:r>
    </w:p>
    <w:p>
      <w:pPr>
        <w:spacing w:after="0" w:before="0"/>
      </w:pPr>
      <w:r>
        <w:rPr>
          <w:b w:val="0"/>
          <w:sz w:val="22"/>
        </w:rPr>
        <w:t>(a) Sodium Hypochlorite</w:t>
      </w:r>
    </w:p>
    <w:p>
      <w:pPr>
        <w:spacing w:after="0" w:before="0"/>
      </w:pPr>
      <w:r>
        <w:rPr>
          <w:b w:val="0"/>
          <w:sz w:val="22"/>
        </w:rPr>
        <w:t>(b) Cidex</w:t>
      </w:r>
    </w:p>
    <w:p>
      <w:pPr>
        <w:spacing w:after="0" w:before="0"/>
      </w:pPr>
      <w:r>
        <w:rPr>
          <w:b w:val="0"/>
          <w:sz w:val="22"/>
        </w:rPr>
        <w:t>(c) Formalin</w:t>
      </w:r>
    </w:p>
    <w:p>
      <w:pPr>
        <w:spacing w:after="0" w:before="0"/>
      </w:pPr>
      <w:r>
        <w:rPr>
          <w:b w:val="0"/>
          <w:sz w:val="22"/>
        </w:rPr>
        <w:t>(d) H202</w:t>
      </w:r>
    </w:p>
    <w:p>
      <w:pPr>
        <w:spacing w:after="0" w:before="40"/>
      </w:pPr>
      <w:r>
        <w:rPr>
          <w:b/>
          <w:sz w:val="22"/>
        </w:rPr>
        <w:t>Answer: a</w:t>
      </w:r>
    </w:p>
    <w:p>
      <w:pPr>
        <w:spacing w:after="0" w:before="0"/>
      </w:pPr>
      <w:r>
        <w:rPr>
          <w:b w:val="0"/>
          <w:sz w:val="21"/>
        </w:rPr>
        <w:t>Solution: Face shields used to protect against COVID-19 can be sterilized using sodium hypochlorite. Sodium hypochlorite is a commonly used disinfectant that is effective against a wide range of pathogens, including the virus that causes COVID-19. his may include wearing gloves and protective clothing, diluting the sodium hypochlorite to the appropriate concentration, and allowing enough contact time for the disinfectant to be effective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aspect of mental functioning is being assessed when a nursing officer asks a patient to explain the difference between an apple and an orange during a mental status examination (MSE)?</w:t>
      </w:r>
    </w:p>
    <w:p>
      <w:pPr>
        <w:spacing w:after="0" w:before="0"/>
      </w:pPr>
      <w:r>
        <w:rPr>
          <w:b w:val="0"/>
          <w:sz w:val="22"/>
        </w:rPr>
        <w:t>(a) Comprehension</w:t>
      </w:r>
    </w:p>
    <w:p>
      <w:pPr>
        <w:spacing w:after="0" w:before="0"/>
      </w:pPr>
      <w:r>
        <w:rPr>
          <w:b w:val="0"/>
          <w:sz w:val="22"/>
        </w:rPr>
        <w:t>(b) Abstraction</w:t>
      </w:r>
    </w:p>
    <w:p>
      <w:pPr>
        <w:spacing w:after="0" w:before="0"/>
      </w:pPr>
      <w:r>
        <w:rPr>
          <w:b w:val="0"/>
          <w:sz w:val="22"/>
        </w:rPr>
        <w:t>(c) Intelligence</w:t>
      </w:r>
    </w:p>
    <w:p>
      <w:pPr>
        <w:spacing w:after="0" w:before="0"/>
      </w:pPr>
      <w:r>
        <w:rPr>
          <w:b w:val="0"/>
          <w:sz w:val="22"/>
        </w:rPr>
        <w:t>(d) Ambivalence</w:t>
      </w:r>
    </w:p>
    <w:p>
      <w:pPr>
        <w:spacing w:after="0" w:before="40"/>
      </w:pPr>
      <w:r>
        <w:rPr>
          <w:b/>
          <w:sz w:val="22"/>
        </w:rPr>
        <w:t>Answer: b</w:t>
      </w:r>
    </w:p>
    <w:p>
      <w:pPr>
        <w:spacing w:after="0" w:before="0"/>
      </w:pPr>
      <w:r>
        <w:rPr>
          <w:b w:val="0"/>
          <w:sz w:val="21"/>
        </w:rPr>
        <w:t>Solution: When a nursing officer asks a patient to explain the difference between an apple and an orange during a mental status examination (MSE), the aspect of mental functioning being assessed is abstraction. Abstraction is the Ms E ( Psychiatry I cognitive ability to grasp concepts, think symbolically, and understand relationships between different objects or ideas. By asking the patient to compare and differentiate between two objects, the nursing officer can evaluate the patient's capacity for abstract thinking, which is an important aspect of mental functioning. Impairments in abstraction can be indicative of cognitive deficits or certain psychiatric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findings suggests worsening condition or severe symptoms of dengue, excluding others?</w:t>
      </w:r>
    </w:p>
    <w:p>
      <w:pPr>
        <w:spacing w:after="0" w:before="0"/>
      </w:pPr>
      <w:r>
        <w:rPr>
          <w:b w:val="0"/>
          <w:sz w:val="22"/>
        </w:rPr>
        <w:t>(a) Blood in vomit or stool</w:t>
      </w:r>
    </w:p>
    <w:p>
      <w:pPr>
        <w:spacing w:after="0" w:before="0"/>
      </w:pPr>
      <w:r>
        <w:rPr>
          <w:b w:val="0"/>
          <w:sz w:val="22"/>
        </w:rPr>
        <w:t>(b) Severe Abdominal pain</w:t>
      </w:r>
    </w:p>
    <w:p>
      <w:pPr>
        <w:spacing w:after="0" w:before="0"/>
      </w:pPr>
      <w:r>
        <w:rPr>
          <w:b w:val="0"/>
          <w:sz w:val="22"/>
        </w:rPr>
        <w:t>(c) Persistent vomiting</w:t>
      </w:r>
    </w:p>
    <w:p>
      <w:pPr>
        <w:spacing w:after="0" w:before="0"/>
      </w:pPr>
      <w:r>
        <w:rPr>
          <w:b w:val="0"/>
          <w:sz w:val="22"/>
        </w:rPr>
        <w:t>(d) High grade fever</w:t>
      </w:r>
    </w:p>
    <w:p>
      <w:pPr>
        <w:spacing w:after="0" w:before="40"/>
      </w:pPr>
      <w:r>
        <w:rPr>
          <w:b/>
          <w:sz w:val="22"/>
        </w:rPr>
        <w:t>Answer: d</w:t>
      </w:r>
    </w:p>
    <w:p>
      <w:pPr>
        <w:spacing w:after="0" w:before="0"/>
      </w:pPr>
      <w:r>
        <w:rPr>
          <w:b w:val="0"/>
          <w:sz w:val="21"/>
        </w:rPr>
        <w:t>Solution: Warning signs of severe dengue include severe abdominal pain, persistent vomiting, mucosal bleeding (blood in vomit or stool), lethargy and fluid accumulation; high-grade fever alone is a general symptom and is not a warning sign.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permanent method of sterilization in male ?</w:t>
      </w:r>
    </w:p>
    <w:p>
      <w:pPr>
        <w:spacing w:after="0" w:before="0"/>
      </w:pPr>
      <w:r>
        <w:rPr>
          <w:b w:val="0"/>
          <w:sz w:val="22"/>
        </w:rPr>
        <w:t>(a) Vasectomy</w:t>
      </w:r>
    </w:p>
    <w:p>
      <w:pPr>
        <w:spacing w:after="0" w:before="0"/>
      </w:pPr>
      <w:r>
        <w:rPr>
          <w:b w:val="0"/>
          <w:sz w:val="22"/>
        </w:rPr>
        <w:t>(b) Barrier method</w:t>
      </w:r>
    </w:p>
    <w:p>
      <w:pPr>
        <w:spacing w:after="0" w:before="0"/>
      </w:pPr>
      <w:r>
        <w:rPr>
          <w:b w:val="0"/>
          <w:sz w:val="22"/>
        </w:rPr>
        <w:t>(c) Tubectomy</w:t>
      </w:r>
    </w:p>
    <w:p>
      <w:pPr>
        <w:spacing w:after="0" w:before="0"/>
      </w:pPr>
      <w:r>
        <w:rPr>
          <w:b w:val="0"/>
          <w:sz w:val="22"/>
        </w:rPr>
        <w:t>(d) Hystrectomy</w:t>
      </w:r>
    </w:p>
    <w:p>
      <w:pPr>
        <w:spacing w:after="0" w:before="40"/>
      </w:pPr>
      <w:r>
        <w:rPr>
          <w:b/>
          <w:sz w:val="22"/>
        </w:rPr>
        <w:t>Answer: a</w:t>
      </w:r>
    </w:p>
    <w:p>
      <w:pPr>
        <w:spacing w:after="0" w:before="0"/>
      </w:pPr>
      <w:r>
        <w:rPr>
          <w:b w:val="0"/>
          <w:sz w:val="21"/>
        </w:rPr>
        <w:t>Solution: Vasectomy is the permanent surgical method of male sterilisation (excision of a segment of each vas deferens).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log-rolling a client with a suspected cervical spine injury, what is the most important intervention?</w:t>
      </w:r>
    </w:p>
    <w:p>
      <w:pPr>
        <w:spacing w:after="0" w:before="0"/>
      </w:pPr>
      <w:r>
        <w:rPr>
          <w:b w:val="0"/>
          <w:sz w:val="22"/>
        </w:rPr>
        <w:t>(a) Assess motor function of all four limbs</w:t>
      </w:r>
    </w:p>
    <w:p>
      <w:pPr>
        <w:spacing w:after="0" w:before="0"/>
      </w:pPr>
      <w:r>
        <w:rPr>
          <w:b w:val="0"/>
          <w:sz w:val="22"/>
        </w:rPr>
        <w:t>(b) Remove the backboard first</w:t>
      </w:r>
    </w:p>
    <w:p>
      <w:pPr>
        <w:spacing w:after="0" w:before="0"/>
      </w:pPr>
      <w:r>
        <w:rPr>
          <w:b w:val="0"/>
          <w:sz w:val="22"/>
        </w:rPr>
        <w:t>(c) Apply the cervical collar before moving</w:t>
      </w:r>
    </w:p>
    <w:p>
      <w:pPr>
        <w:spacing w:after="0" w:before="0"/>
      </w:pPr>
      <w:r>
        <w:rPr>
          <w:b w:val="0"/>
          <w:sz w:val="22"/>
        </w:rPr>
        <w:t>(d) Maintain the head in neutral alignment with the spine</w:t>
      </w:r>
    </w:p>
    <w:p>
      <w:pPr>
        <w:spacing w:after="0" w:before="40"/>
      </w:pPr>
      <w:r>
        <w:rPr>
          <w:b/>
          <w:sz w:val="22"/>
        </w:rPr>
        <w:t>Answer: d</w:t>
      </w:r>
    </w:p>
    <w:p>
      <w:pPr>
        <w:spacing w:after="0" w:before="0"/>
      </w:pPr>
      <w:r>
        <w:rPr>
          <w:b w:val="0"/>
          <w:sz w:val="21"/>
        </w:rPr>
        <w:t>Solution: The head and neck are kept in neutral alignment (no flexion, extension or rotation) throughout the log-roll to prevent further cord injury.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disinfectant solution is recommended for cleaning COVID-19 patient linen?</w:t>
      </w:r>
    </w:p>
    <w:p>
      <w:pPr>
        <w:spacing w:after="0" w:before="0"/>
      </w:pPr>
      <w:r>
        <w:rPr>
          <w:b w:val="0"/>
          <w:sz w:val="22"/>
        </w:rPr>
        <w:t>(a) Alcohol</w:t>
      </w:r>
    </w:p>
    <w:p>
      <w:pPr>
        <w:spacing w:after="0" w:before="0"/>
      </w:pPr>
      <w:r>
        <w:rPr>
          <w:b w:val="0"/>
          <w:sz w:val="22"/>
        </w:rPr>
        <w:t>(b) Betadine</w:t>
      </w:r>
    </w:p>
    <w:p>
      <w:pPr>
        <w:spacing w:after="0" w:before="0"/>
      </w:pPr>
      <w:r>
        <w:rPr>
          <w:b w:val="0"/>
          <w:sz w:val="22"/>
        </w:rPr>
        <w:t>(c) 1% Sodium hypochlorite solution</w:t>
      </w:r>
    </w:p>
    <w:p>
      <w:pPr>
        <w:spacing w:after="0" w:before="0"/>
      </w:pPr>
      <w:r>
        <w:rPr>
          <w:b w:val="0"/>
          <w:sz w:val="22"/>
        </w:rPr>
        <w:t>(d) Savlon</w:t>
      </w:r>
    </w:p>
    <w:p>
      <w:pPr>
        <w:spacing w:after="0" w:before="40"/>
      </w:pPr>
      <w:r>
        <w:rPr>
          <w:b/>
          <w:sz w:val="22"/>
        </w:rPr>
        <w:t>Answer: c</w:t>
      </w:r>
    </w:p>
    <w:p>
      <w:pPr>
        <w:spacing w:after="0" w:before="0"/>
      </w:pPr>
      <w:r>
        <w:rPr>
          <w:b w:val="0"/>
          <w:sz w:val="21"/>
        </w:rPr>
        <w:t>Solution: According to the Centers for Disease Control and Prevention (CDC), the recommended disinfectant solution for cleaning COVID-19 patient linen is a 1% sodium hypochlorite solution. Sodium hypochlorite, commonly known as bleach, has been proven to be effective against the virus. It is important to follow the manufacturer's instructions for dilution and contact time to ensure proper disinfection. Additionally, personal protective equipment (PPE) should be worn when handling contaminated linen to reduce the risk of transmission.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psychotic depression is receiving haloperidol (Haldol). Which of the following side effects is associated with haloperidol?</w:t>
      </w:r>
    </w:p>
    <w:p>
      <w:pPr>
        <w:spacing w:after="0" w:before="0"/>
      </w:pPr>
      <w:r>
        <w:rPr>
          <w:b w:val="0"/>
          <w:sz w:val="22"/>
        </w:rPr>
        <w:t>(a) Akathisia</w:t>
      </w:r>
    </w:p>
    <w:p>
      <w:pPr>
        <w:spacing w:after="0" w:before="0"/>
      </w:pPr>
      <w:r>
        <w:rPr>
          <w:b w:val="0"/>
          <w:sz w:val="22"/>
        </w:rPr>
        <w:t>(b) Cataracts</w:t>
      </w:r>
    </w:p>
    <w:p>
      <w:pPr>
        <w:spacing w:after="0" w:before="0"/>
      </w:pPr>
      <w:r>
        <w:rPr>
          <w:b w:val="0"/>
          <w:sz w:val="22"/>
        </w:rPr>
        <w:t>(c) Polyuria</w:t>
      </w:r>
    </w:p>
    <w:p>
      <w:pPr>
        <w:spacing w:after="0" w:before="0"/>
      </w:pPr>
      <w:r>
        <w:rPr>
          <w:b w:val="0"/>
          <w:sz w:val="22"/>
        </w:rPr>
        <w:t>(d) Diaphoresis</w:t>
      </w:r>
    </w:p>
    <w:p>
      <w:pPr>
        <w:spacing w:after="0" w:before="40"/>
      </w:pPr>
      <w:r>
        <w:rPr>
          <w:b/>
          <w:sz w:val="22"/>
        </w:rPr>
        <w:t>Answer: a</w:t>
      </w:r>
    </w:p>
    <w:p>
      <w:pPr>
        <w:spacing w:after="0" w:before="0"/>
      </w:pPr>
      <w:r>
        <w:rPr>
          <w:b w:val="0"/>
          <w:sz w:val="21"/>
        </w:rPr>
        <w:t>Solution: Akathisia (subjective restlessness with pacing) is an extrapyramidal side effect of haloperidol.</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