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Pregnant lady with card presentation in what is nursing priority?</w:t>
      </w:r>
    </w:p>
    <w:p>
      <w:pPr>
        <w:spacing w:after="0" w:before="0"/>
      </w:pPr>
      <w:r>
        <w:rPr>
          <w:b w:val="0"/>
          <w:sz w:val="22"/>
        </w:rPr>
        <w:t>(a) Give Trendelenburg position</w:t>
      </w:r>
    </w:p>
    <w:p>
      <w:pPr>
        <w:spacing w:after="0" w:before="0"/>
      </w:pPr>
      <w:r>
        <w:rPr>
          <w:b w:val="0"/>
          <w:sz w:val="22"/>
        </w:rPr>
        <w:t>(b) Gently push the cord</w:t>
      </w:r>
    </w:p>
    <w:p>
      <w:pPr>
        <w:spacing w:after="0" w:before="0"/>
      </w:pPr>
      <w:r>
        <w:rPr>
          <w:b w:val="0"/>
          <w:sz w:val="22"/>
        </w:rPr>
        <w:t>(c) Give reverse Trendelenburg position</w:t>
      </w:r>
    </w:p>
    <w:p>
      <w:pPr>
        <w:spacing w:after="0" w:before="0"/>
      </w:pPr>
      <w:r>
        <w:rPr>
          <w:b w:val="0"/>
          <w:sz w:val="22"/>
        </w:rPr>
        <w:t>(d) Inform to HCP</w:t>
      </w:r>
    </w:p>
    <w:p>
      <w:pPr>
        <w:spacing w:after="0" w:before="40"/>
      </w:pPr>
      <w:r>
        <w:rPr>
          <w:b/>
          <w:sz w:val="22"/>
        </w:rPr>
        <w:t>Answer: a</w:t>
      </w:r>
    </w:p>
    <w:p>
      <w:pPr>
        <w:spacing w:after="0" w:before="0"/>
      </w:pPr>
      <w:r>
        <w:rPr>
          <w:b w:val="0"/>
          <w:sz w:val="21"/>
        </w:rPr>
        <w:t>Solution: In cord prolapse, place the mother in Trendelenburg or knee-chest position to relieve compression of the cord while preparing for urgent delivery.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taking digoxin reports nausea, vomiting and seeing yellow-green halos around lights. What should the nurse do FIRST?</w:t>
      </w:r>
    </w:p>
    <w:p>
      <w:pPr>
        <w:spacing w:after="0" w:before="0"/>
      </w:pPr>
      <w:r>
        <w:rPr>
          <w:b w:val="0"/>
          <w:sz w:val="22"/>
        </w:rPr>
        <w:t>(a) Document the findings as expected side effects</w:t>
      </w:r>
    </w:p>
    <w:p>
      <w:pPr>
        <w:spacing w:after="0" w:before="0"/>
      </w:pPr>
      <w:r>
        <w:rPr>
          <w:b w:val="0"/>
          <w:sz w:val="22"/>
        </w:rPr>
        <w:t>(b) Give the digoxin with food</w:t>
      </w:r>
    </w:p>
    <w:p>
      <w:pPr>
        <w:spacing w:after="0" w:before="0"/>
      </w:pPr>
      <w:r>
        <w:rPr>
          <w:b w:val="0"/>
          <w:sz w:val="22"/>
        </w:rPr>
        <w:t>(c) Check the digoxin level and give the dose</w:t>
      </w:r>
    </w:p>
    <w:p>
      <w:pPr>
        <w:spacing w:after="0" w:before="0"/>
      </w:pPr>
      <w:r>
        <w:rPr>
          <w:b w:val="0"/>
          <w:sz w:val="22"/>
        </w:rPr>
        <w:t>(d) Hold the digoxin and notify the health care provider</w:t>
      </w:r>
    </w:p>
    <w:p>
      <w:pPr>
        <w:spacing w:after="0" w:before="40"/>
      </w:pPr>
      <w:r>
        <w:rPr>
          <w:b/>
          <w:sz w:val="22"/>
        </w:rPr>
        <w:t>Answer: d</w:t>
      </w:r>
    </w:p>
    <w:p>
      <w:pPr>
        <w:spacing w:after="0" w:before="0"/>
      </w:pPr>
      <w:r>
        <w:rPr>
          <w:b w:val="0"/>
          <w:sz w:val="21"/>
        </w:rPr>
        <w:t>Solution: Nausea, vomiting and visual halos are classic digoxin toxicity; the drug is withheld and the provider notified (digoxin level and potassium are then checked).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Name of the scale for measuring symptoms severity of patients with schizophrenia?</w:t>
      </w:r>
    </w:p>
    <w:p>
      <w:pPr>
        <w:spacing w:after="0" w:before="0"/>
      </w:pPr>
      <w:r>
        <w:rPr>
          <w:b w:val="0"/>
          <w:sz w:val="22"/>
        </w:rPr>
        <w:t>(a) PANSS</w:t>
      </w:r>
    </w:p>
    <w:p>
      <w:pPr>
        <w:spacing w:after="0" w:before="0"/>
      </w:pPr>
      <w:r>
        <w:rPr>
          <w:b w:val="0"/>
          <w:sz w:val="22"/>
        </w:rPr>
        <w:t>(b) VAS</w:t>
      </w:r>
    </w:p>
    <w:p>
      <w:pPr>
        <w:spacing w:after="0" w:before="0"/>
      </w:pPr>
      <w:r>
        <w:rPr>
          <w:b w:val="0"/>
          <w:sz w:val="22"/>
        </w:rPr>
        <w:t>(c) FLACC</w:t>
      </w:r>
    </w:p>
    <w:p>
      <w:pPr>
        <w:spacing w:after="0" w:before="0"/>
      </w:pPr>
      <w:r>
        <w:rPr>
          <w:b w:val="0"/>
          <w:sz w:val="22"/>
        </w:rPr>
        <w:t>(d) NRS</w:t>
      </w:r>
    </w:p>
    <w:p>
      <w:pPr>
        <w:spacing w:after="0" w:before="40"/>
      </w:pPr>
      <w:r>
        <w:rPr>
          <w:b/>
          <w:sz w:val="22"/>
        </w:rPr>
        <w:t>Answer: a</w:t>
      </w:r>
    </w:p>
    <w:p>
      <w:pPr>
        <w:spacing w:after="0" w:before="0"/>
      </w:pPr>
      <w:r>
        <w:rPr>
          <w:b w:val="0"/>
          <w:sz w:val="21"/>
        </w:rPr>
        <w:t>Solution: The Positive and Negative Syndrome Scale (PANSS) is used to measure symptom severity in schizophrenia.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Amphetamine used in ADHD for long term than cause ?</w:t>
      </w:r>
    </w:p>
    <w:p>
      <w:pPr>
        <w:spacing w:after="0" w:before="0"/>
      </w:pPr>
      <w:r>
        <w:rPr>
          <w:b w:val="0"/>
          <w:sz w:val="22"/>
        </w:rPr>
        <w:t>(a) Increased appetite</w:t>
      </w:r>
    </w:p>
    <w:p>
      <w:pPr>
        <w:spacing w:after="0" w:before="0"/>
      </w:pPr>
      <w:r>
        <w:rPr>
          <w:b w:val="0"/>
          <w:sz w:val="22"/>
        </w:rPr>
        <w:t>(b) Hypothermia</w:t>
      </w:r>
    </w:p>
    <w:p>
      <w:pPr>
        <w:spacing w:after="0" w:before="0"/>
      </w:pPr>
      <w:r>
        <w:rPr>
          <w:b w:val="0"/>
          <w:sz w:val="22"/>
        </w:rPr>
        <w:t>(c) confusion</w:t>
      </w:r>
    </w:p>
    <w:p>
      <w:pPr>
        <w:spacing w:after="0" w:before="0"/>
      </w:pPr>
      <w:r>
        <w:rPr>
          <w:b w:val="0"/>
          <w:sz w:val="22"/>
        </w:rPr>
        <w:t>(d) Mania</w:t>
      </w:r>
    </w:p>
    <w:p>
      <w:pPr>
        <w:spacing w:after="0" w:before="40"/>
      </w:pPr>
      <w:r>
        <w:rPr>
          <w:b/>
          <w:sz w:val="22"/>
        </w:rPr>
        <w:t>Answer: c</w:t>
      </w:r>
    </w:p>
    <w:p>
      <w:pPr>
        <w:spacing w:after="0" w:before="0"/>
      </w:pPr>
      <w:r>
        <w:rPr>
          <w:b w:val="0"/>
          <w:sz w:val="21"/>
        </w:rPr>
        <w:t>Solution: Long-term amphetamine use can cause confusion, agitation and psychotic symptoms; appetite is decreased and body temperature may rise.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treatment guidelines is NOT recommended in dengue fever?</w:t>
      </w:r>
    </w:p>
    <w:p>
      <w:pPr>
        <w:spacing w:after="0" w:before="0"/>
      </w:pPr>
      <w:r>
        <w:rPr>
          <w:b w:val="0"/>
          <w:sz w:val="22"/>
        </w:rPr>
        <w:t>(a) Rest and sleep</w:t>
      </w:r>
    </w:p>
    <w:p>
      <w:pPr>
        <w:spacing w:after="0" w:before="0"/>
      </w:pPr>
      <w:r>
        <w:rPr>
          <w:b w:val="0"/>
          <w:sz w:val="22"/>
        </w:rPr>
        <w:t>(b) Staying well hydrated</w:t>
      </w:r>
    </w:p>
    <w:p>
      <w:pPr>
        <w:spacing w:after="0" w:before="0"/>
      </w:pPr>
      <w:r>
        <w:rPr>
          <w:b w:val="0"/>
          <w:sz w:val="22"/>
        </w:rPr>
        <w:t>(c) Use of NSAIDs such as ibuprofen</w:t>
      </w:r>
    </w:p>
    <w:p>
      <w:pPr>
        <w:spacing w:after="0" w:before="0"/>
      </w:pPr>
      <w:r>
        <w:rPr>
          <w:b w:val="0"/>
          <w:sz w:val="22"/>
        </w:rPr>
        <w:t>(d) Use of oral acetaminophen (paracetamol)</w:t>
      </w:r>
    </w:p>
    <w:p>
      <w:pPr>
        <w:spacing w:after="0" w:before="40"/>
      </w:pPr>
      <w:r>
        <w:rPr>
          <w:b/>
          <w:sz w:val="22"/>
        </w:rPr>
        <w:t>Answer: c</w:t>
      </w:r>
    </w:p>
    <w:p>
      <w:pPr>
        <w:spacing w:after="0" w:before="0"/>
      </w:pPr>
      <w:r>
        <w:rPr>
          <w:b w:val="0"/>
          <w:sz w:val="21"/>
        </w:rPr>
        <w:t>Solution: NSAIDs are NOT recommended in dengue fever because they interfere with platelet function and increase the risk of bleeding; hydration, rest and oral acetaminophen (paracetamol) are the recommended measures.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G3 female history of 2 previous second trimester abortion present at 22 weeks of gestational with funnelling of cervix and length of cervix 20 mm. Most appropriate management would be?</w:t>
      </w:r>
    </w:p>
    <w:p>
      <w:pPr>
        <w:spacing w:after="0" w:before="0"/>
      </w:pPr>
      <w:r>
        <w:rPr>
          <w:b w:val="0"/>
          <w:sz w:val="22"/>
        </w:rPr>
        <w:t>(a) Apply cervical circlage</w:t>
      </w:r>
    </w:p>
    <w:p>
      <w:pPr>
        <w:spacing w:after="0" w:before="0"/>
      </w:pPr>
      <w:r>
        <w:rPr>
          <w:b w:val="0"/>
          <w:sz w:val="22"/>
        </w:rPr>
        <w:t>(b) Administer dinoprostone and bed rest</w:t>
      </w:r>
    </w:p>
    <w:p>
      <w:pPr>
        <w:spacing w:after="0" w:before="0"/>
      </w:pPr>
      <w:r>
        <w:rPr>
          <w:b w:val="0"/>
          <w:sz w:val="22"/>
        </w:rPr>
        <w:t>(c) Apply fothergill stretch</w:t>
      </w:r>
    </w:p>
    <w:p>
      <w:pPr>
        <w:spacing w:after="0" w:before="0"/>
      </w:pPr>
      <w:r>
        <w:rPr>
          <w:b w:val="0"/>
          <w:sz w:val="22"/>
        </w:rPr>
        <w:t>(d) Administer misoprostol and bed rest</w:t>
      </w:r>
    </w:p>
    <w:p>
      <w:pPr>
        <w:spacing w:after="0" w:before="40"/>
      </w:pPr>
      <w:r>
        <w:rPr>
          <w:b/>
          <w:sz w:val="22"/>
        </w:rPr>
        <w:t>Answer: a</w:t>
      </w:r>
    </w:p>
    <w:p>
      <w:pPr>
        <w:spacing w:after="0" w:before="0"/>
      </w:pPr>
      <w:r>
        <w:rPr>
          <w:b w:val="0"/>
          <w:sz w:val="21"/>
        </w:rPr>
        <w:t>Solution: In a G3 female with a history of 2 previous second-trimester abortions, presenting at 22 weeks of gestation with funneling of the cervix and a cervix length of 20 mm, the most appropriate management would be to apply cervical cerclage (option B). Cervical cerclage is a surgical procedure in which a stitch or suture is placed around the cervix to provide mechanical support and prevent premature cervical dilation. It is indicated in cases of cervical insufficiency, where the cervix is weak and at risk of premature opening. By reinforcing the cervix, cervical cerclage helps prolong the pregnancy and reduce the risk of preterm birth. abortion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girl hears a gunshot sound but realizes that her neighbor is actually operating a grass-cutting machine. This scenario best exemplifies which phenomenon?</w:t>
      </w:r>
    </w:p>
    <w:p>
      <w:pPr>
        <w:spacing w:after="0" w:before="0"/>
      </w:pPr>
      <w:r>
        <w:rPr>
          <w:b w:val="0"/>
          <w:sz w:val="22"/>
        </w:rPr>
        <w:t>(a) Identification</w:t>
      </w:r>
    </w:p>
    <w:p>
      <w:pPr>
        <w:spacing w:after="0" w:before="0"/>
      </w:pPr>
      <w:r>
        <w:rPr>
          <w:b w:val="0"/>
          <w:sz w:val="22"/>
        </w:rPr>
        <w:t>(b) Hallucination</w:t>
      </w:r>
    </w:p>
    <w:p>
      <w:pPr>
        <w:spacing w:after="0" w:before="0"/>
      </w:pPr>
      <w:r>
        <w:rPr>
          <w:b w:val="0"/>
          <w:sz w:val="22"/>
        </w:rPr>
        <w:t>(c) Illusion</w:t>
      </w:r>
    </w:p>
    <w:p>
      <w:pPr>
        <w:spacing w:after="0" w:before="0"/>
      </w:pPr>
      <w:r>
        <w:rPr>
          <w:b w:val="0"/>
          <w:sz w:val="22"/>
        </w:rPr>
        <w:t>(d) Delusion</w:t>
      </w:r>
    </w:p>
    <w:p>
      <w:pPr>
        <w:spacing w:after="0" w:before="40"/>
      </w:pPr>
      <w:r>
        <w:rPr>
          <w:b/>
          <w:sz w:val="22"/>
        </w:rPr>
        <w:t>Answer: c</w:t>
      </w:r>
    </w:p>
    <w:p>
      <w:pPr>
        <w:spacing w:after="0" w:before="0"/>
      </w:pPr>
      <w:r>
        <w:rPr>
          <w:b w:val="0"/>
          <w:sz w:val="21"/>
        </w:rPr>
        <w:t>Solution: The scenario described, where a girl hears a gunshot sound but realizes that her neighbor is actually operating a grass-cutting machine, best exemplifies an illusion. An illusion refers to a misinterpretation or misperception of a sensory stimulus. In this case, the sound of the grass-cutting machine is misperceived as a gunshot due to similarities in auditory characteristics. The individual's perception does not align with the actual stimulus present. Illusions are common occurrences and can arise from various sensory modalities, including visual, auditory, and tactile stimuli.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can be frozen?</w:t>
      </w:r>
    </w:p>
    <w:p>
      <w:pPr>
        <w:spacing w:after="0" w:before="0"/>
      </w:pPr>
      <w:r>
        <w:rPr>
          <w:b w:val="0"/>
          <w:sz w:val="22"/>
        </w:rPr>
        <w:t>(a) DPT/DT</w:t>
      </w:r>
    </w:p>
    <w:p>
      <w:pPr>
        <w:spacing w:after="0" w:before="0"/>
      </w:pPr>
      <w:r>
        <w:rPr>
          <w:b w:val="0"/>
          <w:sz w:val="22"/>
        </w:rPr>
        <w:t>(b) MMR</w:t>
      </w:r>
    </w:p>
    <w:p>
      <w:pPr>
        <w:spacing w:after="0" w:before="0"/>
      </w:pPr>
      <w:r>
        <w:rPr>
          <w:b w:val="0"/>
          <w:sz w:val="22"/>
        </w:rPr>
        <w:t>(c) polio</w:t>
      </w:r>
    </w:p>
    <w:p>
      <w:pPr>
        <w:spacing w:after="0" w:before="0"/>
      </w:pPr>
      <w:r>
        <w:rPr>
          <w:b w:val="0"/>
          <w:sz w:val="22"/>
        </w:rPr>
        <w:t>(d) BCG</w:t>
      </w:r>
    </w:p>
    <w:p>
      <w:pPr>
        <w:spacing w:after="0" w:before="40"/>
      </w:pPr>
      <w:r>
        <w:rPr>
          <w:b/>
          <w:sz w:val="22"/>
        </w:rPr>
        <w:t>Answer: b</w:t>
      </w:r>
    </w:p>
    <w:p>
      <w:pPr>
        <w:spacing w:after="0" w:before="0"/>
      </w:pPr>
      <w:r>
        <w:rPr>
          <w:b w:val="0"/>
          <w:sz w:val="21"/>
        </w:rPr>
        <w:t>Solution: Freeze-dried vaccines such as MMR can be stored frozen, whereas liquid vaccines containing adjuvants (DPT, TT, Hepatitis B) must never be frozen.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breast abscess in a 38 year-old lactating mother?</w:t>
      </w:r>
    </w:p>
    <w:p>
      <w:pPr>
        <w:spacing w:after="0" w:before="0"/>
      </w:pPr>
      <w:r>
        <w:rPr>
          <w:b w:val="0"/>
          <w:sz w:val="22"/>
        </w:rPr>
        <w:t>(a) Streptococci</w:t>
      </w:r>
    </w:p>
    <w:p>
      <w:pPr>
        <w:spacing w:after="0" w:before="0"/>
      </w:pPr>
      <w:r>
        <w:rPr>
          <w:b w:val="0"/>
          <w:sz w:val="22"/>
        </w:rPr>
        <w:t>(b) E Coli</w:t>
      </w:r>
    </w:p>
    <w:p>
      <w:pPr>
        <w:spacing w:after="0" w:before="0"/>
      </w:pPr>
      <w:r>
        <w:rPr>
          <w:b w:val="0"/>
          <w:sz w:val="22"/>
        </w:rPr>
        <w:t>(c) Streptococcus Epidermis</w:t>
      </w:r>
    </w:p>
    <w:p>
      <w:pPr>
        <w:spacing w:after="0" w:before="0"/>
      </w:pPr>
      <w:r>
        <w:rPr>
          <w:b w:val="0"/>
          <w:sz w:val="22"/>
        </w:rPr>
        <w:t>(d) Staphylococcus aureus</w:t>
      </w:r>
    </w:p>
    <w:p>
      <w:pPr>
        <w:spacing w:after="0" w:before="40"/>
      </w:pPr>
      <w:r>
        <w:rPr>
          <w:b/>
          <w:sz w:val="22"/>
        </w:rPr>
        <w:t>Answer: d</w:t>
      </w:r>
    </w:p>
    <w:p>
      <w:pPr>
        <w:spacing w:after="0" w:before="0"/>
      </w:pPr>
      <w:r>
        <w:rPr>
          <w:b w:val="0"/>
          <w:sz w:val="21"/>
        </w:rPr>
        <w:t>Solution: Staphylococcus aureus is the most common pathogenic bacteria among breast abscesses during lactation. It is a gram-positive bacteria with strong pathogenicity and can cause skin, soft-tissue, bone, joint, and systemic organ infections. The bacteria enter through a break or crack in the skin, usually on the nipple. The infection takes place in the fatty tissue of the breast and causes swelling which pushes on the milk ducts resulting in pain and lumps in the infected breast.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absolute contraindication for liver biopsy in children? Live Biopsy in children</w:t>
      </w:r>
    </w:p>
    <w:p>
      <w:pPr>
        <w:spacing w:after="0" w:before="0"/>
      </w:pPr>
      <w:r>
        <w:rPr>
          <w:b w:val="0"/>
          <w:sz w:val="22"/>
        </w:rPr>
        <w:t>(a) Tumour in liver</w:t>
      </w:r>
    </w:p>
    <w:p>
      <w:pPr>
        <w:spacing w:after="0" w:before="0"/>
      </w:pPr>
      <w:r>
        <w:rPr>
          <w:b w:val="0"/>
          <w:sz w:val="22"/>
        </w:rPr>
        <w:t>(b) Bleeding</w:t>
      </w:r>
    </w:p>
    <w:p>
      <w:pPr>
        <w:spacing w:after="0" w:before="0"/>
      </w:pPr>
      <w:r>
        <w:rPr>
          <w:b w:val="0"/>
          <w:sz w:val="22"/>
        </w:rPr>
        <w:t>(c) Pneumothorax</w:t>
      </w:r>
    </w:p>
    <w:p>
      <w:pPr>
        <w:spacing w:after="0" w:before="0"/>
      </w:pPr>
      <w:r>
        <w:rPr>
          <w:b w:val="0"/>
          <w:sz w:val="22"/>
        </w:rPr>
        <w:t>(d) Coagulopathy</w:t>
      </w:r>
    </w:p>
    <w:p>
      <w:pPr>
        <w:spacing w:after="0" w:before="40"/>
      </w:pPr>
      <w:r>
        <w:rPr>
          <w:b/>
          <w:sz w:val="22"/>
        </w:rPr>
        <w:t>Answer: d</w:t>
      </w:r>
    </w:p>
    <w:p>
      <w:pPr>
        <w:spacing w:after="0" w:before="0"/>
      </w:pPr>
      <w:r>
        <w:rPr>
          <w:b w:val="0"/>
          <w:sz w:val="21"/>
        </w:rPr>
        <w:t>Solution: Liver biopsy is a relatively safe procedure, but certain conditions may increase the risk of complications. Absolute contraindications for liver biopsy in children include severe coagulopathy, uncontrolled bleeding disorders, and suspected malignant lesions with a high risk of needle tract seeding. Before performing the procedure, it is essential to evaluate the patient's medical history, coagulation profile, and imaging findings to determine the risk-benefit ratio.</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receiving IV oxytocin for labor augmentation has a fetal heart rate of 90 beats/min with late decelerations. What should the nurse do FIRST?</w:t>
      </w:r>
    </w:p>
    <w:p>
      <w:pPr>
        <w:spacing w:after="0" w:before="0"/>
      </w:pPr>
      <w:r>
        <w:rPr>
          <w:b w:val="0"/>
          <w:sz w:val="22"/>
        </w:rPr>
        <w:t>(a) Administer an IV fluid bolus of 500 mL</w:t>
      </w:r>
    </w:p>
    <w:p>
      <w:pPr>
        <w:spacing w:after="0" w:before="0"/>
      </w:pPr>
      <w:r>
        <w:rPr>
          <w:b w:val="0"/>
          <w:sz w:val="22"/>
        </w:rPr>
        <w:t>(b) Turn the client onto her back</w:t>
      </w:r>
    </w:p>
    <w:p>
      <w:pPr>
        <w:spacing w:after="0" w:before="0"/>
      </w:pPr>
      <w:r>
        <w:rPr>
          <w:b w:val="0"/>
          <w:sz w:val="22"/>
        </w:rPr>
        <w:t>(c) Stop the oxytocin infusion</w:t>
      </w:r>
    </w:p>
    <w:p>
      <w:pPr>
        <w:spacing w:after="0" w:before="0"/>
      </w:pPr>
      <w:r>
        <w:rPr>
          <w:b w:val="0"/>
          <w:sz w:val="22"/>
        </w:rPr>
        <w:t>(d) Increase the infusion rate</w:t>
      </w:r>
    </w:p>
    <w:p>
      <w:pPr>
        <w:spacing w:after="0" w:before="40"/>
      </w:pPr>
      <w:r>
        <w:rPr>
          <w:b/>
          <w:sz w:val="22"/>
        </w:rPr>
        <w:t>Answer: c</w:t>
      </w:r>
    </w:p>
    <w:p>
      <w:pPr>
        <w:spacing w:after="0" w:before="0"/>
      </w:pPr>
      <w:r>
        <w:rPr>
          <w:b w:val="0"/>
          <w:sz w:val="21"/>
        </w:rPr>
        <w:t>Solution: Late decelerations indicate uteroplacental insufficiency; the oxytocin is stopped immediately, the client turned to the left side, and oxygen and fluids given while the provider is notified.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laboratory value requires IMMEDIATE notification in a client with chronic kidney disease?</w:t>
      </w:r>
    </w:p>
    <w:p>
      <w:pPr>
        <w:spacing w:after="0" w:before="0"/>
      </w:pPr>
      <w:r>
        <w:rPr>
          <w:b w:val="0"/>
          <w:sz w:val="22"/>
        </w:rPr>
        <w:t>(a) Hemoglobin 10.2 g/dL</w:t>
      </w:r>
    </w:p>
    <w:p>
      <w:pPr>
        <w:spacing w:after="0" w:before="0"/>
      </w:pPr>
      <w:r>
        <w:rPr>
          <w:b w:val="0"/>
          <w:sz w:val="22"/>
        </w:rPr>
        <w:t>(b) Serum creatinine 2.4 mg/dL</w:t>
      </w:r>
    </w:p>
    <w:p>
      <w:pPr>
        <w:spacing w:after="0" w:before="0"/>
      </w:pPr>
      <w:r>
        <w:rPr>
          <w:b w:val="0"/>
          <w:sz w:val="22"/>
        </w:rPr>
        <w:t>(c) Serum potassium 6.8 mEq/L</w:t>
      </w:r>
    </w:p>
    <w:p>
      <w:pPr>
        <w:spacing w:after="0" w:before="0"/>
      </w:pPr>
      <w:r>
        <w:rPr>
          <w:b w:val="0"/>
          <w:sz w:val="22"/>
        </w:rPr>
        <w:t>(d) Blood urea nitrogen 42 mg/dL</w:t>
      </w:r>
    </w:p>
    <w:p>
      <w:pPr>
        <w:spacing w:after="0" w:before="40"/>
      </w:pPr>
      <w:r>
        <w:rPr>
          <w:b/>
          <w:sz w:val="22"/>
        </w:rPr>
        <w:t>Answer: c</w:t>
      </w:r>
    </w:p>
    <w:p>
      <w:pPr>
        <w:spacing w:after="0" w:before="0"/>
      </w:pPr>
      <w:r>
        <w:rPr>
          <w:b w:val="0"/>
          <w:sz w:val="21"/>
        </w:rPr>
        <w:t>Solution: Hyperkalemia (&gt;5.5 mEq/L) can precipitate lethal cardiac dysrhythmias; potassium 6.8 mEq/L is a critical value that must be reported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is kept in freezer compartment in refrigerator?</w:t>
      </w:r>
    </w:p>
    <w:p>
      <w:pPr>
        <w:spacing w:after="0" w:before="0"/>
      </w:pPr>
      <w:r>
        <w:rPr>
          <w:b w:val="0"/>
          <w:sz w:val="22"/>
        </w:rPr>
        <w:t>(a) T.T</w:t>
      </w:r>
    </w:p>
    <w:p>
      <w:pPr>
        <w:spacing w:after="0" w:before="0"/>
      </w:pPr>
      <w:r>
        <w:rPr>
          <w:b w:val="0"/>
          <w:sz w:val="22"/>
        </w:rPr>
        <w:t>(b) Measles</w:t>
      </w:r>
    </w:p>
    <w:p>
      <w:pPr>
        <w:spacing w:after="0" w:before="0"/>
      </w:pPr>
      <w:r>
        <w:rPr>
          <w:b w:val="0"/>
          <w:sz w:val="22"/>
        </w:rPr>
        <w:t>(c) DPT</w:t>
      </w:r>
    </w:p>
    <w:p>
      <w:pPr>
        <w:spacing w:after="0" w:before="0"/>
      </w:pPr>
      <w:r>
        <w:rPr>
          <w:b w:val="0"/>
          <w:sz w:val="22"/>
        </w:rPr>
        <w:t>(d) Hepatitis B</w:t>
      </w:r>
    </w:p>
    <w:p>
      <w:pPr>
        <w:spacing w:after="0" w:before="40"/>
      </w:pPr>
      <w:r>
        <w:rPr>
          <w:b/>
          <w:sz w:val="22"/>
        </w:rPr>
        <w:t>Answer: a</w:t>
      </w:r>
    </w:p>
    <w:p>
      <w:pPr>
        <w:spacing w:after="0" w:before="0"/>
      </w:pPr>
      <w:r>
        <w:rPr>
          <w:b w:val="0"/>
          <w:sz w:val="21"/>
        </w:rPr>
        <w:t>Solution: The vaccine that is kept in the freezer compartment of a refrigerator is the Measles vaccine. Measles vaccine, like many other live vaccines, needs to be stored at low temperatures to maintain its efficacy. The recommended storage temperature for the measles vaccine is between -50°C and -15°C. This temperature range ensures that the vaccine remains stable and retains its potency. The freezer compartment of a refrigerator provides the necessary cold storage for vaccines that require ultra-low temperatures. Important instruments in OBE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caring for a 3-day-old neonate who is receiving phototherapy to treat jaundice, the nurse in charge would expect to do which of the following?</w:t>
      </w:r>
    </w:p>
    <w:p>
      <w:pPr>
        <w:spacing w:after="0" w:before="0"/>
      </w:pPr>
      <w:r>
        <w:rPr>
          <w:b w:val="0"/>
          <w:sz w:val="22"/>
        </w:rPr>
        <w:t>(a) Turn the neonate every 6 hours</w:t>
      </w:r>
    </w:p>
    <w:p>
      <w:pPr>
        <w:spacing w:after="0" w:before="0"/>
      </w:pPr>
      <w:r>
        <w:rPr>
          <w:b w:val="0"/>
          <w:sz w:val="22"/>
        </w:rPr>
        <w:t>(b) Check the vital signs every 2 to 4 hours.</w:t>
      </w:r>
    </w:p>
    <w:p>
      <w:pPr>
        <w:spacing w:after="0" w:before="0"/>
      </w:pPr>
      <w:r>
        <w:rPr>
          <w:b w:val="0"/>
          <w:sz w:val="22"/>
        </w:rPr>
        <w:t>(c) Notify the physician if the skin becomes bronze in color.</w:t>
      </w:r>
    </w:p>
    <w:p>
      <w:pPr>
        <w:spacing w:after="0" w:before="0"/>
      </w:pPr>
      <w:r>
        <w:rPr>
          <w:b w:val="0"/>
          <w:sz w:val="22"/>
        </w:rPr>
        <w:t>(d) Encourage the mother to discontinue breastfeeding.</w:t>
      </w:r>
    </w:p>
    <w:p>
      <w:pPr>
        <w:spacing w:after="0" w:before="40"/>
      </w:pPr>
      <w:r>
        <w:rPr>
          <w:b/>
          <w:sz w:val="22"/>
        </w:rPr>
        <w:t>Answer: b</w:t>
      </w:r>
    </w:p>
    <w:p>
      <w:pPr>
        <w:spacing w:after="0" w:before="0"/>
      </w:pPr>
      <w:r>
        <w:rPr>
          <w:b w:val="0"/>
          <w:sz w:val="21"/>
        </w:rPr>
        <w:t>Solution: During phototherapy, the nurse checks the neonate's vital signs every 2-4 hours and monitors temperature, hydration and skin.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fat emulsification/cracking is observed in a TPN (Total Parenteral Nutrition) lipid bag, the nurse's immediate action is</w:t>
      </w:r>
    </w:p>
    <w:p>
      <w:pPr>
        <w:spacing w:after="0" w:before="0"/>
      </w:pPr>
      <w:r>
        <w:rPr>
          <w:b w:val="0"/>
          <w:sz w:val="22"/>
        </w:rPr>
        <w:t>(a) Increase infusion rate</w:t>
      </w:r>
    </w:p>
    <w:p>
      <w:pPr>
        <w:spacing w:after="0" w:before="0"/>
      </w:pPr>
      <w:r>
        <w:rPr>
          <w:b w:val="0"/>
          <w:sz w:val="22"/>
        </w:rPr>
        <w:t>(b) Stop infusion and replace with a fresh TPN bag</w:t>
      </w:r>
    </w:p>
    <w:p>
      <w:pPr>
        <w:spacing w:after="0" w:before="0"/>
      </w:pPr>
      <w:r>
        <w:rPr>
          <w:b w:val="0"/>
          <w:sz w:val="22"/>
        </w:rPr>
        <w:t>(c) Vigorously shake/rub the bag</w:t>
      </w:r>
    </w:p>
    <w:p>
      <w:pPr>
        <w:spacing w:after="0" w:before="0"/>
      </w:pPr>
      <w:r>
        <w:rPr>
          <w:b w:val="0"/>
          <w:sz w:val="22"/>
        </w:rPr>
        <w:t>(d) Continue infusion normally</w:t>
      </w:r>
    </w:p>
    <w:p>
      <w:pPr>
        <w:spacing w:after="0" w:before="40"/>
      </w:pPr>
      <w:r>
        <w:rPr>
          <w:b/>
          <w:sz w:val="22"/>
        </w:rPr>
        <w:t>Answer: b</w:t>
      </w:r>
    </w:p>
    <w:p>
      <w:pPr>
        <w:spacing w:after="0" w:before="0"/>
      </w:pPr>
      <w:r>
        <w:rPr>
          <w:b w:val="0"/>
          <w:sz w:val="21"/>
        </w:rPr>
        <w:t>Solution: Fat emulsion separation (cracking/oiling) forms large fat globules that can cause fat embolism if infused. The bag must be discarded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burn patient with 30% TBSA burns in the first 24 hours should be monitored most closely for:</w:t>
      </w:r>
    </w:p>
    <w:p>
      <w:pPr>
        <w:spacing w:after="0" w:before="0"/>
      </w:pPr>
      <w:r>
        <w:rPr>
          <w:b w:val="0"/>
          <w:sz w:val="22"/>
        </w:rPr>
        <w:t>(a) Hypovolaemic shock</w:t>
      </w:r>
    </w:p>
    <w:p>
      <w:pPr>
        <w:spacing w:after="0" w:before="0"/>
      </w:pPr>
      <w:r>
        <w:rPr>
          <w:b w:val="0"/>
          <w:sz w:val="22"/>
        </w:rPr>
        <w:t>(b) Hyperkalemia only</w:t>
      </w:r>
    </w:p>
    <w:p>
      <w:pPr>
        <w:spacing w:after="0" w:before="0"/>
      </w:pPr>
      <w:r>
        <w:rPr>
          <w:b w:val="0"/>
          <w:sz w:val="22"/>
        </w:rPr>
        <w:t>(c) Constipation</w:t>
      </w:r>
    </w:p>
    <w:p>
      <w:pPr>
        <w:spacing w:after="0" w:before="0"/>
      </w:pPr>
      <w:r>
        <w:rPr>
          <w:b w:val="0"/>
          <w:sz w:val="22"/>
        </w:rPr>
        <w:t>(d) Hyperglycemia</w:t>
      </w:r>
    </w:p>
    <w:p>
      <w:pPr>
        <w:spacing w:after="0" w:before="40"/>
      </w:pPr>
      <w:r>
        <w:rPr>
          <w:b/>
          <w:sz w:val="22"/>
        </w:rPr>
        <w:t>Answer: a</w:t>
      </w:r>
    </w:p>
    <w:p>
      <w:pPr>
        <w:spacing w:after="0" w:before="0"/>
      </w:pPr>
      <w:r>
        <w:rPr>
          <w:b w:val="0"/>
          <w:sz w:val="21"/>
        </w:rPr>
        <w:t>Solution: Fluid shift from the intravascular compartment causes hypovolaemic shock in the first 24-48 hours after burns.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site for checking capillary refill time is:</w:t>
      </w:r>
    </w:p>
    <w:p>
      <w:pPr>
        <w:spacing w:after="0" w:before="0"/>
      </w:pPr>
      <w:r>
        <w:rPr>
          <w:b w:val="0"/>
          <w:sz w:val="22"/>
        </w:rPr>
        <w:t>(a) Earlobe</w:t>
      </w:r>
    </w:p>
    <w:p>
      <w:pPr>
        <w:spacing w:after="0" w:before="0"/>
      </w:pPr>
      <w:r>
        <w:rPr>
          <w:b w:val="0"/>
          <w:sz w:val="22"/>
        </w:rPr>
        <w:t>(b) Sternum</w:t>
      </w:r>
    </w:p>
    <w:p>
      <w:pPr>
        <w:spacing w:after="0" w:before="0"/>
      </w:pPr>
      <w:r>
        <w:rPr>
          <w:b w:val="0"/>
          <w:sz w:val="22"/>
        </w:rPr>
        <w:t>(c) Forehead</w:t>
      </w:r>
    </w:p>
    <w:p>
      <w:pPr>
        <w:spacing w:after="0" w:before="0"/>
      </w:pPr>
      <w:r>
        <w:rPr>
          <w:b w:val="0"/>
          <w:sz w:val="22"/>
        </w:rPr>
        <w:t>(d) Fingernail bed</w:t>
      </w:r>
    </w:p>
    <w:p>
      <w:pPr>
        <w:spacing w:after="0" w:before="40"/>
      </w:pPr>
      <w:r>
        <w:rPr>
          <w:b/>
          <w:sz w:val="22"/>
        </w:rPr>
        <w:t>Answer: d</w:t>
      </w:r>
    </w:p>
    <w:p>
      <w:pPr>
        <w:spacing w:after="0" w:before="0"/>
      </w:pPr>
      <w:r>
        <w:rPr>
          <w:b w:val="0"/>
          <w:sz w:val="21"/>
        </w:rPr>
        <w:t>Solution: Capillary refill is checked by pressing the fingernail bed; normal refill is less than 3 seconds.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laboratory results may indicate an infectious condition in the body?</w:t>
      </w:r>
    </w:p>
    <w:p>
      <w:pPr>
        <w:spacing w:after="0" w:before="0"/>
      </w:pPr>
      <w:r>
        <w:rPr>
          <w:b w:val="0"/>
          <w:sz w:val="22"/>
        </w:rPr>
        <w:t>(a) WBC level 4000/mm1</w:t>
      </w:r>
    </w:p>
    <w:p>
      <w:pPr>
        <w:spacing w:after="0" w:before="0"/>
      </w:pPr>
      <w:r>
        <w:rPr>
          <w:b w:val="0"/>
          <w:sz w:val="22"/>
        </w:rPr>
        <w:t>(b) Bilirubin level 2 mg/dl</w:t>
      </w:r>
    </w:p>
    <w:p>
      <w:pPr>
        <w:spacing w:after="0" w:before="0"/>
      </w:pPr>
      <w:r>
        <w:rPr>
          <w:b w:val="0"/>
          <w:sz w:val="22"/>
        </w:rPr>
        <w:t>(c) AST (SGOT) level 14 IU/1</w:t>
      </w:r>
    </w:p>
    <w:p>
      <w:pPr>
        <w:spacing w:after="0" w:before="0"/>
      </w:pPr>
      <w:r>
        <w:rPr>
          <w:b w:val="0"/>
          <w:sz w:val="22"/>
        </w:rPr>
        <w:t>(d) WBC level 16000/mm3</w:t>
      </w:r>
    </w:p>
    <w:p>
      <w:pPr>
        <w:spacing w:after="0" w:before="40"/>
      </w:pPr>
      <w:r>
        <w:rPr>
          <w:b/>
          <w:sz w:val="22"/>
        </w:rPr>
        <w:t>Answer: d</w:t>
      </w:r>
    </w:p>
    <w:p>
      <w:pPr>
        <w:spacing w:after="0" w:before="0"/>
      </w:pPr>
      <w:r>
        <w:rPr>
          <w:b w:val="0"/>
          <w:sz w:val="21"/>
        </w:rPr>
        <w:t>Solution: An elevated white blood cell count (WBC) is a common laboratory finding in infectious conditions. WBCs are an essential component of the immune system and play a critical role in fighting infections. During an infection, the body produces more white blood cells to help combat the invading pathogens. A WBC count of 16000/mm3 is higher than the normal range of 4000-11000/mm3, indicating an ongoing infection. However, other factors such as inflammation, trauma, or certain medications can also cause an increase in WBC count. Therefore, other diagnostic tests, including cultures, serology, and imaging, may be necessary to confirm the presence of an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assessment of acute malnutrition in childern is</w:t>
      </w:r>
    </w:p>
    <w:p>
      <w:pPr>
        <w:spacing w:after="0" w:before="0"/>
      </w:pPr>
      <w:r>
        <w:rPr>
          <w:b w:val="0"/>
          <w:sz w:val="22"/>
        </w:rPr>
        <w:t>(a) Height</w:t>
      </w:r>
    </w:p>
    <w:p>
      <w:pPr>
        <w:spacing w:after="0" w:before="0"/>
      </w:pPr>
      <w:r>
        <w:rPr>
          <w:b w:val="0"/>
          <w:sz w:val="22"/>
        </w:rPr>
        <w:t>(b) Weight</w:t>
      </w:r>
    </w:p>
    <w:p>
      <w:pPr>
        <w:spacing w:after="0" w:before="0"/>
      </w:pPr>
      <w:r>
        <w:rPr>
          <w:b w:val="0"/>
          <w:sz w:val="22"/>
        </w:rPr>
        <w:t>(c) BMI</w:t>
      </w:r>
    </w:p>
    <w:p>
      <w:pPr>
        <w:spacing w:after="0" w:before="0"/>
      </w:pPr>
      <w:r>
        <w:rPr>
          <w:b w:val="0"/>
          <w:sz w:val="22"/>
        </w:rPr>
        <w:t>(d) Weight for Height</w:t>
      </w:r>
    </w:p>
    <w:p>
      <w:pPr>
        <w:spacing w:after="0" w:before="40"/>
      </w:pPr>
      <w:r>
        <w:rPr>
          <w:b/>
          <w:sz w:val="22"/>
        </w:rPr>
        <w:t>Answer: d</w:t>
      </w:r>
    </w:p>
    <w:p>
      <w:pPr>
        <w:spacing w:after="0" w:before="0"/>
      </w:pPr>
      <w:r>
        <w:rPr>
          <w:b w:val="0"/>
          <w:sz w:val="21"/>
        </w:rPr>
        <w:t>Solution: The assessment of acute malnutrition in children is commonly done using weight for height measurements. Acute malnutrition refers to the rapid onset of nutritional deficiency and is characterized by wasting or a significant decrease in body weight. Weight for height is a commonly used anthropometric index to assess acute malnutrition in children. It compares the child's weight to their height and provides an indication of their nutritional status. Various growth charts, such as the World Health Organization (WHO) growth standards or Centers for Disease Control and Prevention (CDC) growth charts, can be used to determine the appropriate weight-for-height percentile and identify malnourished children who may require intervention.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most appropriate nursing action for a 32 years female patient, diagnosed with bipolar affective disorder?</w:t>
      </w:r>
    </w:p>
    <w:p>
      <w:pPr>
        <w:spacing w:after="0" w:before="0"/>
      </w:pPr>
      <w:r>
        <w:rPr>
          <w:b w:val="0"/>
          <w:sz w:val="22"/>
        </w:rPr>
        <w:t>(a) Use chemical restraints</w:t>
      </w:r>
    </w:p>
    <w:p>
      <w:pPr>
        <w:spacing w:after="0" w:before="0"/>
      </w:pPr>
      <w:r>
        <w:rPr>
          <w:b w:val="0"/>
          <w:sz w:val="22"/>
        </w:rPr>
        <w:t>(b) Use physical restraints</w:t>
      </w:r>
    </w:p>
    <w:p>
      <w:pPr>
        <w:spacing w:after="0" w:before="0"/>
      </w:pPr>
      <w:r>
        <w:rPr>
          <w:b w:val="0"/>
          <w:sz w:val="22"/>
        </w:rPr>
        <w:t>(c) Establish clear boundaries</w:t>
      </w:r>
    </w:p>
    <w:p>
      <w:pPr>
        <w:spacing w:after="0" w:before="0"/>
      </w:pPr>
      <w:r>
        <w:rPr>
          <w:b w:val="0"/>
          <w:sz w:val="22"/>
        </w:rPr>
        <w:t>(d) Give ECT</w:t>
      </w:r>
    </w:p>
    <w:p>
      <w:pPr>
        <w:spacing w:after="0" w:before="40"/>
      </w:pPr>
      <w:r>
        <w:rPr>
          <w:b/>
          <w:sz w:val="22"/>
        </w:rPr>
        <w:t>Answer: c</w:t>
      </w:r>
    </w:p>
    <w:p>
      <w:pPr>
        <w:spacing w:after="0" w:before="0"/>
      </w:pPr>
      <w:r>
        <w:rPr>
          <w:b w:val="0"/>
          <w:sz w:val="21"/>
        </w:rPr>
        <w:t>Solution: For a patient with bipolar disorder (mania), the nurse establishes clear, firm and consistent boundaries to provide structure and safety.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