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Most sensitive index of the health of a community is</w:t>
      </w:r>
    </w:p>
    <w:p>
      <w:pPr>
        <w:spacing w:after="0" w:before="0"/>
      </w:pPr>
      <w:r>
        <w:rPr>
          <w:b w:val="0"/>
          <w:sz w:val="22"/>
        </w:rPr>
        <w:t>(a) Infant Mortality Rate</w:t>
      </w:r>
    </w:p>
    <w:p>
      <w:pPr>
        <w:spacing w:after="0" w:before="0"/>
      </w:pPr>
      <w:r>
        <w:rPr>
          <w:b w:val="0"/>
          <w:sz w:val="22"/>
        </w:rPr>
        <w:t>(b) Crude Birth Rate</w:t>
      </w:r>
    </w:p>
    <w:p>
      <w:pPr>
        <w:spacing w:after="0" w:before="0"/>
      </w:pPr>
      <w:r>
        <w:rPr>
          <w:b w:val="0"/>
          <w:sz w:val="22"/>
        </w:rPr>
        <w:t>(c) Crude Death Rate</w:t>
      </w:r>
    </w:p>
    <w:p>
      <w:pPr>
        <w:spacing w:after="0" w:before="0"/>
      </w:pPr>
      <w:r>
        <w:rPr>
          <w:b w:val="0"/>
          <w:sz w:val="22"/>
        </w:rPr>
        <w:t>(d) MMR</w:t>
      </w:r>
    </w:p>
    <w:p>
      <w:pPr>
        <w:spacing w:after="0" w:before="40"/>
      </w:pPr>
      <w:r>
        <w:rPr>
          <w:b/>
          <w:sz w:val="22"/>
        </w:rPr>
        <w:t>Answer: a</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Cover the wound with sterile saline-soaked dressings</w:t>
      </w:r>
    </w:p>
    <w:p>
      <w:pPr>
        <w:spacing w:after="0" w:before="0"/>
      </w:pPr>
      <w:r>
        <w:rPr>
          <w:b w:val="0"/>
          <w:sz w:val="22"/>
        </w:rPr>
        <w:t>(b) Apply a dry sterile dressing</w:t>
      </w:r>
    </w:p>
    <w:p>
      <w:pPr>
        <w:spacing w:after="0" w:before="0"/>
      </w:pPr>
      <w:r>
        <w:rPr>
          <w:b w:val="0"/>
          <w:sz w:val="22"/>
        </w:rPr>
        <w:t>(c) Gently push the bowel back into the abdomen</w:t>
      </w:r>
    </w:p>
    <w:p>
      <w:pPr>
        <w:spacing w:after="0" w:before="0"/>
      </w:pPr>
      <w:r>
        <w:rPr>
          <w:b w:val="0"/>
          <w:sz w:val="22"/>
        </w:rPr>
        <w:t>(d) Place the client flat and wait for the surgeon</w:t>
      </w:r>
    </w:p>
    <w:p>
      <w:pPr>
        <w:spacing w:after="0" w:before="40"/>
      </w:pPr>
      <w:r>
        <w:rPr>
          <w:b/>
          <w:sz w:val="22"/>
        </w:rPr>
        <w:t>Answer: a</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Preeclampsia PIH [0BG) Which of the following clinical findings is not typically observed during pregnancy?</w:t>
      </w:r>
    </w:p>
    <w:p>
      <w:pPr>
        <w:spacing w:after="0" w:before="0"/>
      </w:pPr>
      <w:r>
        <w:rPr>
          <w:b w:val="0"/>
          <w:sz w:val="22"/>
        </w:rPr>
        <w:t>(a) Colostrum</w:t>
      </w:r>
    </w:p>
    <w:p>
      <w:pPr>
        <w:spacing w:after="0" w:before="0"/>
      </w:pPr>
      <w:r>
        <w:rPr>
          <w:b w:val="0"/>
          <w:sz w:val="22"/>
        </w:rPr>
        <w:t>(b) Dysuria</w:t>
      </w:r>
    </w:p>
    <w:p>
      <w:pPr>
        <w:spacing w:after="0" w:before="0"/>
      </w:pPr>
      <w:r>
        <w:rPr>
          <w:b w:val="0"/>
          <w:sz w:val="22"/>
        </w:rPr>
        <w:t>(c) Chloasma</w:t>
      </w:r>
    </w:p>
    <w:p>
      <w:pPr>
        <w:spacing w:after="0" w:before="0"/>
      </w:pPr>
      <w:r>
        <w:rPr>
          <w:b w:val="0"/>
          <w:sz w:val="22"/>
        </w:rPr>
        <w:t>(d) Striae gravidrium</w:t>
      </w:r>
    </w:p>
    <w:p>
      <w:pPr>
        <w:spacing w:after="0" w:before="40"/>
      </w:pPr>
      <w:r>
        <w:rPr>
          <w:b/>
          <w:sz w:val="22"/>
        </w:rPr>
        <w:t>Answer: a</w:t>
      </w:r>
    </w:p>
    <w:p>
      <w:pPr>
        <w:spacing w:after="0" w:before="0"/>
      </w:pPr>
      <w:r>
        <w:rPr>
          <w:b w:val="0"/>
          <w:sz w:val="21"/>
        </w:rPr>
        <w:t>Solution: Answer: Dysuria (painful or difficult urination) is not a common clinical finding in pregnancy. Striae gravidarum (stretch marks), colostrum (a thick, yellowish fluid that is produced by the breasts during pregnancy and the first few days after childbirth), and chloasma (darkening of the skin, often on the face) are all commonly observed during pregnancy due to hormonal changes.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normal pulse rate of a newborn is:</w:t>
      </w:r>
    </w:p>
    <w:p>
      <w:pPr>
        <w:spacing w:after="0" w:before="0"/>
      </w:pPr>
      <w:r>
        <w:rPr>
          <w:b w:val="0"/>
          <w:sz w:val="22"/>
        </w:rPr>
        <w:t>(a) 80-100 beats/min</w:t>
      </w:r>
    </w:p>
    <w:p>
      <w:pPr>
        <w:spacing w:after="0" w:before="0"/>
      </w:pPr>
      <w:r>
        <w:rPr>
          <w:b w:val="0"/>
          <w:sz w:val="22"/>
        </w:rPr>
        <w:t>(b) 60-80 beats/min</w:t>
      </w:r>
    </w:p>
    <w:p>
      <w:pPr>
        <w:spacing w:after="0" w:before="0"/>
      </w:pPr>
      <w:r>
        <w:rPr>
          <w:b w:val="0"/>
          <w:sz w:val="22"/>
        </w:rPr>
        <w:t>(c) 100-160 beats/min</w:t>
      </w:r>
    </w:p>
    <w:p>
      <w:pPr>
        <w:spacing w:after="0" w:before="0"/>
      </w:pPr>
      <w:r>
        <w:rPr>
          <w:b w:val="0"/>
          <w:sz w:val="22"/>
        </w:rPr>
        <w:t>(d) 160-200 beats/min</w:t>
      </w:r>
    </w:p>
    <w:p>
      <w:pPr>
        <w:spacing w:after="0" w:before="40"/>
      </w:pPr>
      <w:r>
        <w:rPr>
          <w:b/>
          <w:sz w:val="22"/>
        </w:rPr>
        <w:t>Answer: c</w:t>
      </w:r>
    </w:p>
    <w:p>
      <w:pPr>
        <w:spacing w:after="0" w:before="0"/>
      </w:pPr>
      <w:r>
        <w:rPr>
          <w:b w:val="0"/>
          <w:sz w:val="21"/>
        </w:rPr>
        <w:t>Solution: The normal newborn heart rate is 100-160 beats per minute (may reach 180 during crying).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client with severe dyspnea?</w:t>
      </w:r>
    </w:p>
    <w:p>
      <w:pPr>
        <w:spacing w:after="0" w:before="0"/>
      </w:pPr>
      <w:r>
        <w:rPr>
          <w:b w:val="0"/>
          <w:sz w:val="22"/>
        </w:rPr>
        <w:t>(a) High Fowler's position</w:t>
      </w:r>
    </w:p>
    <w:p>
      <w:pPr>
        <w:spacing w:after="0" w:before="0"/>
      </w:pPr>
      <w:r>
        <w:rPr>
          <w:b w:val="0"/>
          <w:sz w:val="22"/>
        </w:rPr>
        <w:t>(b) Prone position</w:t>
      </w:r>
    </w:p>
    <w:p>
      <w:pPr>
        <w:spacing w:after="0" w:before="0"/>
      </w:pPr>
      <w:r>
        <w:rPr>
          <w:b w:val="0"/>
          <w:sz w:val="22"/>
        </w:rPr>
        <w:t>(c) Supine position</w:t>
      </w:r>
    </w:p>
    <w:p>
      <w:pPr>
        <w:spacing w:after="0" w:before="0"/>
      </w:pPr>
      <w:r>
        <w:rPr>
          <w:b w:val="0"/>
          <w:sz w:val="22"/>
        </w:rPr>
        <w:t>(d) Trendelenburg position</w:t>
      </w:r>
    </w:p>
    <w:p>
      <w:pPr>
        <w:spacing w:after="0" w:before="40"/>
      </w:pPr>
      <w:r>
        <w:rPr>
          <w:b/>
          <w:sz w:val="22"/>
        </w:rPr>
        <w:t>Answer: a</w:t>
      </w:r>
    </w:p>
    <w:p>
      <w:pPr>
        <w:spacing w:after="0" w:before="0"/>
      </w:pPr>
      <w:r>
        <w:rPr>
          <w:b w:val="0"/>
          <w:sz w:val="21"/>
        </w:rPr>
        <w:t>Solution: High Fowler's (sitting at 80-90°) maximizes chest expansion by allowing gravity to lower abdominal contents and is the position of choice for dyspnea.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Assess the vital signs</w:t>
      </w:r>
    </w:p>
    <w:p>
      <w:pPr>
        <w:spacing w:after="0" w:before="0"/>
      </w:pPr>
      <w:r>
        <w:rPr>
          <w:b w:val="0"/>
          <w:sz w:val="22"/>
        </w:rPr>
        <w:t>(b) Inform to the physician</w:t>
      </w:r>
    </w:p>
    <w:p>
      <w:pPr>
        <w:spacing w:after="0" w:before="0"/>
      </w:pPr>
      <w:r>
        <w:rPr>
          <w:b w:val="0"/>
          <w:sz w:val="22"/>
        </w:rPr>
        <w:t>(c) Stop the Infusion</w:t>
      </w:r>
    </w:p>
    <w:p>
      <w:pPr>
        <w:spacing w:after="0" w:before="0"/>
      </w:pPr>
      <w:r>
        <w:rPr>
          <w:b w:val="0"/>
          <w:sz w:val="22"/>
        </w:rPr>
        <w:t>(d) Continue the Infusion</w:t>
      </w:r>
    </w:p>
    <w:p>
      <w:pPr>
        <w:spacing w:after="0" w:before="40"/>
      </w:pPr>
      <w:r>
        <w:rPr>
          <w:b/>
          <w:sz w:val="22"/>
        </w:rPr>
        <w:t>Answer: c</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Maintaining a patent airway</w:t>
      </w:r>
    </w:p>
    <w:p>
      <w:pPr>
        <w:spacing w:after="0" w:before="0"/>
      </w:pPr>
      <w:r>
        <w:rPr>
          <w:b w:val="0"/>
          <w:sz w:val="22"/>
        </w:rPr>
        <w:t>(b) Administering analgesics</w:t>
      </w:r>
    </w:p>
    <w:p>
      <w:pPr>
        <w:spacing w:after="0" w:before="0"/>
      </w:pPr>
      <w:r>
        <w:rPr>
          <w:b w:val="0"/>
          <w:sz w:val="22"/>
        </w:rPr>
        <w:t>(c) Measuring intake and output</w:t>
      </w:r>
    </w:p>
    <w:p>
      <w:pPr>
        <w:spacing w:after="0" w:before="0"/>
      </w:pPr>
      <w:r>
        <w:rPr>
          <w:b w:val="0"/>
          <w:sz w:val="22"/>
        </w:rPr>
        <w:t>(d) Elevating the foot end</w:t>
      </w:r>
    </w:p>
    <w:p>
      <w:pPr>
        <w:spacing w:after="0" w:before="40"/>
      </w:pPr>
      <w:r>
        <w:rPr>
          <w:b/>
          <w:sz w:val="22"/>
        </w:rPr>
        <w:t>Answer: a</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pelvic shape has the poorest prognosis for normal vaginal delivery?</w:t>
      </w:r>
    </w:p>
    <w:p>
      <w:pPr>
        <w:spacing w:after="0" w:before="0"/>
      </w:pPr>
      <w:r>
        <w:rPr>
          <w:b w:val="0"/>
          <w:sz w:val="22"/>
        </w:rPr>
        <w:t>(a) Android</w:t>
      </w:r>
    </w:p>
    <w:p>
      <w:pPr>
        <w:spacing w:after="0" w:before="0"/>
      </w:pPr>
      <w:r>
        <w:rPr>
          <w:b w:val="0"/>
          <w:sz w:val="22"/>
        </w:rPr>
        <w:t>(b) Gynecoid</w:t>
      </w:r>
    </w:p>
    <w:p>
      <w:pPr>
        <w:spacing w:after="0" w:before="0"/>
      </w:pPr>
      <w:r>
        <w:rPr>
          <w:b w:val="0"/>
          <w:sz w:val="22"/>
        </w:rPr>
        <w:t>(c) Platypelloid</w:t>
      </w:r>
    </w:p>
    <w:p>
      <w:pPr>
        <w:spacing w:after="0" w:before="0"/>
      </w:pPr>
      <w:r>
        <w:rPr>
          <w:b w:val="0"/>
          <w:sz w:val="22"/>
        </w:rPr>
        <w:t>(d) Anthropoid</w:t>
      </w:r>
    </w:p>
    <w:p>
      <w:pPr>
        <w:spacing w:after="0" w:before="40"/>
      </w:pPr>
      <w:r>
        <w:rPr>
          <w:b/>
          <w:sz w:val="22"/>
        </w:rPr>
        <w:t>Answer: a</w:t>
      </w:r>
    </w:p>
    <w:p>
      <w:pPr>
        <w:spacing w:after="0" w:before="0"/>
      </w:pPr>
      <w:r>
        <w:rPr>
          <w:b w:val="0"/>
          <w:sz w:val="21"/>
        </w:rPr>
        <w:t>Solution: Android pelvis (heart-shaped inlet, narrow subpubic arch) is typical of males and presents high risk of deep transverse arrest and obstructed labor.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Immediate management to Restore BP and peripheral circulation in a client with multiple fracture and fluid loss would be</w:t>
      </w:r>
    </w:p>
    <w:p>
      <w:pPr>
        <w:spacing w:after="0" w:before="0"/>
      </w:pPr>
      <w:r>
        <w:rPr>
          <w:b w:val="0"/>
          <w:sz w:val="22"/>
        </w:rPr>
        <w:t>(a) NS infusion</w:t>
      </w:r>
    </w:p>
    <w:p>
      <w:pPr>
        <w:spacing w:after="0" w:before="0"/>
      </w:pPr>
      <w:r>
        <w:rPr>
          <w:b w:val="0"/>
          <w:sz w:val="22"/>
        </w:rPr>
        <w:t>(b) RL Infusion</w:t>
      </w:r>
    </w:p>
    <w:p>
      <w:pPr>
        <w:spacing w:after="0" w:before="0"/>
      </w:pPr>
      <w:r>
        <w:rPr>
          <w:b w:val="0"/>
          <w:sz w:val="22"/>
        </w:rPr>
        <w:t>(c) Blood transfusion</w:t>
      </w:r>
    </w:p>
    <w:p>
      <w:pPr>
        <w:spacing w:after="0" w:before="0"/>
      </w:pPr>
      <w:r>
        <w:rPr>
          <w:b w:val="0"/>
          <w:sz w:val="22"/>
        </w:rPr>
        <w:t>(d) Dextrose 5%</w:t>
      </w:r>
    </w:p>
    <w:p>
      <w:pPr>
        <w:spacing w:after="0" w:before="40"/>
      </w:pPr>
      <w:r>
        <w:rPr>
          <w:b/>
          <w:sz w:val="22"/>
        </w:rPr>
        <w:t>Answer: b</w:t>
      </w:r>
    </w:p>
    <w:p>
      <w:pPr>
        <w:spacing w:after="0" w:before="0"/>
      </w:pPr>
      <w:r>
        <w:rPr>
          <w:b w:val="0"/>
          <w:sz w:val="21"/>
        </w:rPr>
        <w:t>Solution: Ringer's lactate (RL) infusion is the immediate fluid to restore blood pressure and peripheral circulation in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Purpose of national deworming day?</w:t>
      </w:r>
    </w:p>
    <w:p>
      <w:pPr>
        <w:spacing w:after="0" w:before="0"/>
      </w:pPr>
      <w:r>
        <w:rPr>
          <w:b w:val="0"/>
          <w:sz w:val="22"/>
        </w:rPr>
        <w:t>(a) Improve breast feeding</w:t>
      </w:r>
    </w:p>
    <w:p>
      <w:pPr>
        <w:spacing w:after="0" w:before="0"/>
      </w:pPr>
      <w:r>
        <w:rPr>
          <w:b w:val="0"/>
          <w:sz w:val="22"/>
        </w:rPr>
        <w:t>(b) Eradicate intestinal worms</w:t>
      </w:r>
    </w:p>
    <w:p>
      <w:pPr>
        <w:spacing w:after="0" w:before="0"/>
      </w:pPr>
      <w:r>
        <w:rPr>
          <w:b w:val="0"/>
          <w:sz w:val="22"/>
        </w:rPr>
        <w:t>(c) Eradicate poverty</w:t>
      </w:r>
    </w:p>
    <w:p>
      <w:pPr>
        <w:spacing w:after="0" w:before="0"/>
      </w:pPr>
      <w:r>
        <w:rPr>
          <w:b w:val="0"/>
          <w:sz w:val="22"/>
        </w:rPr>
        <w:t>(d) Improve IMR &amp; MMR</w:t>
      </w:r>
    </w:p>
    <w:p>
      <w:pPr>
        <w:spacing w:after="0" w:before="40"/>
      </w:pPr>
      <w:r>
        <w:rPr>
          <w:b/>
          <w:sz w:val="22"/>
        </w:rPr>
        <w:t>Answer: a</w:t>
      </w:r>
    </w:p>
    <w:p>
      <w:pPr>
        <w:spacing w:after="0" w:before="0"/>
      </w:pPr>
      <w:r>
        <w:rPr>
          <w:b w:val="0"/>
          <w:sz w:val="21"/>
        </w:rPr>
        <w:t>Solution: The National Deworming Day is observed on February 10 every year. It is an initiative of Ministry of Health and Family Welfare, Government of India to make every child in the country worm free. The objective of National Deworming Day is to deworm all preschool and school-age children (enrolled and non-enrolled) between the ages of 1-19 years through the platform of schools and Anganwadi Centers in order to improve their overall health, nutritional status, access to education and quality of life.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standard recommended endotracheal/tracheal suction pressure for an adult patient?</w:t>
      </w:r>
    </w:p>
    <w:p>
      <w:pPr>
        <w:spacing w:after="0" w:before="0"/>
      </w:pPr>
      <w:r>
        <w:rPr>
          <w:b w:val="0"/>
          <w:sz w:val="22"/>
        </w:rPr>
        <w:t>(a) 100 to 120 mmHg (Wall suction)</w:t>
      </w:r>
    </w:p>
    <w:p>
      <w:pPr>
        <w:spacing w:after="0" w:before="0"/>
      </w:pPr>
      <w:r>
        <w:rPr>
          <w:b w:val="0"/>
          <w:sz w:val="22"/>
        </w:rPr>
        <w:t>(b) 50 to 80 mmHg</w:t>
      </w:r>
    </w:p>
    <w:p>
      <w:pPr>
        <w:spacing w:after="0" w:before="0"/>
      </w:pPr>
      <w:r>
        <w:rPr>
          <w:b w:val="0"/>
          <w:sz w:val="22"/>
        </w:rPr>
        <w:t>(c) 170 to 200 mmHg</w:t>
      </w:r>
    </w:p>
    <w:p>
      <w:pPr>
        <w:spacing w:after="0" w:before="0"/>
      </w:pPr>
      <w:r>
        <w:rPr>
          <w:b w:val="0"/>
          <w:sz w:val="22"/>
        </w:rPr>
        <w:t>(d) 20 to 40 mmHg</w:t>
      </w:r>
    </w:p>
    <w:p>
      <w:pPr>
        <w:spacing w:after="0" w:before="40"/>
      </w:pPr>
      <w:r>
        <w:rPr>
          <w:b/>
          <w:sz w:val="22"/>
        </w:rPr>
        <w:t>Answer: a</w:t>
      </w:r>
    </w:p>
    <w:p>
      <w:pPr>
        <w:spacing w:after="0" w:before="0"/>
      </w:pPr>
      <w:r>
        <w:rPr>
          <w:b w:val="0"/>
          <w:sz w:val="21"/>
        </w:rPr>
        <w:t>Solution: Safe wall suction negative pressure for adults is 100–120 mmHg (max 150 mmHg) to prevent mucosal tissue trauma and hypoxemia.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Copious eye irrigation with clean water or Normal Saline for 15-20 mins</w:t>
      </w:r>
    </w:p>
    <w:p>
      <w:pPr>
        <w:spacing w:after="0" w:before="0"/>
      </w:pPr>
      <w:r>
        <w:rPr>
          <w:b w:val="0"/>
          <w:sz w:val="22"/>
        </w:rPr>
        <w:t>(b) Cover with tight pressure patch</w:t>
      </w:r>
    </w:p>
    <w:p>
      <w:pPr>
        <w:spacing w:after="0" w:before="0"/>
      </w:pPr>
      <w:r>
        <w:rPr>
          <w:b w:val="0"/>
          <w:sz w:val="22"/>
        </w:rPr>
        <w:t>(c) Administer oral analgesics</w:t>
      </w:r>
    </w:p>
    <w:p>
      <w:pPr>
        <w:spacing w:after="0" w:before="0"/>
      </w:pPr>
      <w:r>
        <w:rPr>
          <w:b w:val="0"/>
          <w:sz w:val="22"/>
        </w:rPr>
        <w:t>(d) Attempt manual removal</w:t>
      </w:r>
    </w:p>
    <w:p>
      <w:pPr>
        <w:spacing w:after="0" w:before="40"/>
      </w:pPr>
      <w:r>
        <w:rPr>
          <w:b/>
          <w:sz w:val="22"/>
        </w:rPr>
        <w:t>Answer: a</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G3P2 female had 2 Cesarean sections. What is the risk of uterine rupture in this female?</w:t>
      </w:r>
    </w:p>
    <w:p>
      <w:pPr>
        <w:spacing w:after="0" w:before="0"/>
      </w:pPr>
      <w:r>
        <w:rPr>
          <w:b w:val="0"/>
          <w:sz w:val="22"/>
        </w:rPr>
        <w:t>(a) 5 - 7%</w:t>
      </w:r>
    </w:p>
    <w:p>
      <w:pPr>
        <w:spacing w:after="0" w:before="0"/>
      </w:pPr>
      <w:r>
        <w:rPr>
          <w:b w:val="0"/>
          <w:sz w:val="22"/>
        </w:rPr>
        <w:t>(b) 46%</w:t>
      </w:r>
    </w:p>
    <w:p>
      <w:pPr>
        <w:spacing w:after="0" w:before="0"/>
      </w:pPr>
      <w:r>
        <w:rPr>
          <w:b w:val="0"/>
          <w:sz w:val="22"/>
        </w:rPr>
        <w:t>(c) 2 - 3%</w:t>
      </w:r>
    </w:p>
    <w:p>
      <w:pPr>
        <w:spacing w:after="0" w:before="0"/>
      </w:pPr>
      <w:r>
        <w:rPr>
          <w:b w:val="0"/>
          <w:sz w:val="22"/>
        </w:rPr>
        <w:t>(d) 10 - 12%</w:t>
      </w:r>
    </w:p>
    <w:p>
      <w:pPr>
        <w:spacing w:after="0" w:before="40"/>
      </w:pPr>
      <w:r>
        <w:rPr>
          <w:b/>
          <w:sz w:val="22"/>
        </w:rPr>
        <w:t>Answer: c</w:t>
      </w:r>
    </w:p>
    <w:p>
      <w:pPr>
        <w:spacing w:after="0" w:before="0"/>
      </w:pPr>
      <w:r>
        <w:rPr>
          <w:b w:val="0"/>
          <w:sz w:val="21"/>
        </w:rPr>
        <w:t>Solution: The risk of uterine rupture with two previous cesarean sections (TOLAC) is approximately 2-3%.</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which month is Swachhta Pakhwada observed?</w:t>
      </w:r>
    </w:p>
    <w:p>
      <w:pPr>
        <w:spacing w:after="0" w:before="0"/>
      </w:pPr>
      <w:r>
        <w:rPr>
          <w:b w:val="0"/>
          <w:sz w:val="22"/>
        </w:rPr>
        <w:t>(a) September.</w:t>
      </w:r>
    </w:p>
    <w:p>
      <w:pPr>
        <w:spacing w:after="0" w:before="0"/>
      </w:pPr>
      <w:r>
        <w:rPr>
          <w:b w:val="0"/>
          <w:sz w:val="22"/>
        </w:rPr>
        <w:t>(b) July</w:t>
      </w:r>
    </w:p>
    <w:p>
      <w:pPr>
        <w:spacing w:after="0" w:before="0"/>
      </w:pPr>
      <w:r>
        <w:rPr>
          <w:b w:val="0"/>
          <w:sz w:val="22"/>
        </w:rPr>
        <w:t>(c) October</w:t>
      </w:r>
    </w:p>
    <w:p>
      <w:pPr>
        <w:spacing w:after="0" w:before="0"/>
      </w:pPr>
      <w:r>
        <w:rPr>
          <w:b w:val="0"/>
          <w:sz w:val="22"/>
        </w:rPr>
        <w:t>(d) August</w:t>
      </w:r>
    </w:p>
    <w:p>
      <w:pPr>
        <w:spacing w:after="0" w:before="40"/>
      </w:pPr>
      <w:r>
        <w:rPr>
          <w:b/>
          <w:sz w:val="22"/>
        </w:rPr>
        <w:t>Answer: a</w:t>
      </w:r>
    </w:p>
    <w:p>
      <w:pPr>
        <w:spacing w:after="0" w:before="0"/>
      </w:pPr>
      <w:r>
        <w:rPr>
          <w:b w:val="0"/>
          <w:sz w:val="21"/>
        </w:rPr>
        <w:t>Solution: Swachhta Pakhwada is observed in September. Swachhta Pakhwada is a two-week long campaign launched by the Indian Government to promote cleanliness, hygiene, and sanitation across the country. It is a time when government agencies, non-governmental organizations, schools, colleges, and other institutions come together to create awareness about the importance of cleanliness and encourage people to take action to improve their environment. The campaign includes activities such as cleaning drives, workshops, seminars, and rallies.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modern childhood immunization, one component of the DPT vaccine has been removed due to a high occurrence of side effects. Which component is it?</w:t>
      </w:r>
    </w:p>
    <w:p>
      <w:pPr>
        <w:spacing w:after="0" w:before="0"/>
      </w:pPr>
      <w:r>
        <w:rPr>
          <w:b w:val="0"/>
          <w:sz w:val="22"/>
        </w:rPr>
        <w:t>(a) Tetanus</w:t>
      </w:r>
    </w:p>
    <w:p>
      <w:pPr>
        <w:spacing w:after="0" w:before="0"/>
      </w:pPr>
      <w:r>
        <w:rPr>
          <w:b w:val="0"/>
          <w:sz w:val="22"/>
        </w:rPr>
        <w:t>(b) Diphtheria</w:t>
      </w:r>
    </w:p>
    <w:p>
      <w:pPr>
        <w:spacing w:after="0" w:before="0"/>
      </w:pPr>
      <w:r>
        <w:rPr>
          <w:b w:val="0"/>
          <w:sz w:val="22"/>
        </w:rPr>
        <w:t>(c) Pertussis</w:t>
      </w:r>
    </w:p>
    <w:p>
      <w:pPr>
        <w:spacing w:after="0" w:before="0"/>
      </w:pPr>
      <w:r>
        <w:rPr>
          <w:b w:val="0"/>
          <w:sz w:val="22"/>
        </w:rPr>
        <w:t>(d) All of the above</w:t>
      </w:r>
    </w:p>
    <w:p>
      <w:pPr>
        <w:spacing w:after="0" w:before="40"/>
      </w:pPr>
      <w:r>
        <w:rPr>
          <w:b/>
          <w:sz w:val="22"/>
        </w:rPr>
        <w:t>Answer: c</w:t>
      </w:r>
    </w:p>
    <w:p>
      <w:pPr>
        <w:spacing w:after="0" w:before="0"/>
      </w:pPr>
      <w:r>
        <w:rPr>
          <w:b w:val="0"/>
          <w:sz w:val="21"/>
        </w:rPr>
        <w:t>Solution: In modern childhood immunization, the component of the DPT vaccine that has been removed due to a high occurrence of side effects is pertussis (whooping cough). The original DPT vaccine contained three components: diphtheria toxoid, tetanus toxoid, and whole-cell pertussis vaccine. However, due to concerns about side effects associated with the whole-cell pertussis vaccine, an acellular pertussis vaccine was developed. The acellular pertussis vaccine contains purified components of the pertussis bacterium, which significantly reduces the risk of side effects while still providing protection against whooping cough. This change in the vaccine formulation has contributed to improved safety and acceptability of the DPT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food should be avoided when the patient is on MAOI?</w:t>
      </w:r>
    </w:p>
    <w:p>
      <w:pPr>
        <w:spacing w:after="0" w:before="0"/>
      </w:pPr>
      <w:r>
        <w:rPr>
          <w:b w:val="0"/>
          <w:sz w:val="22"/>
        </w:rPr>
        <w:t>(a) Gluten rich food</w:t>
      </w:r>
    </w:p>
    <w:p>
      <w:pPr>
        <w:spacing w:after="0" w:before="0"/>
      </w:pPr>
      <w:r>
        <w:rPr>
          <w:b w:val="0"/>
          <w:sz w:val="22"/>
        </w:rPr>
        <w:t>(b) Calcium rich food</w:t>
      </w:r>
    </w:p>
    <w:p>
      <w:pPr>
        <w:spacing w:after="0" w:before="0"/>
      </w:pPr>
      <w:r>
        <w:rPr>
          <w:b w:val="0"/>
          <w:sz w:val="22"/>
        </w:rPr>
        <w:t>(c) Alanine containing food</w:t>
      </w:r>
    </w:p>
    <w:p>
      <w:pPr>
        <w:spacing w:after="0" w:before="0"/>
      </w:pPr>
      <w:r>
        <w:rPr>
          <w:b w:val="0"/>
          <w:sz w:val="22"/>
        </w:rPr>
        <w:t>(d) Tyramine containing food</w:t>
      </w:r>
    </w:p>
    <w:p>
      <w:pPr>
        <w:spacing w:after="0" w:before="40"/>
      </w:pPr>
      <w:r>
        <w:rPr>
          <w:b/>
          <w:sz w:val="22"/>
        </w:rPr>
        <w:t>Answer: d</w:t>
      </w:r>
    </w:p>
    <w:p>
      <w:pPr>
        <w:spacing w:after="0" w:before="0"/>
      </w:pPr>
      <w:r>
        <w:rPr>
          <w:b w:val="0"/>
          <w:sz w:val="21"/>
        </w:rPr>
        <w:t>Solution: Patients on MAO inhibitors must avoid tyramine-containing foods (aged cheese, cured meats, fermented foods) to prevent hypertensive crisis.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step in the nursing process is:</w:t>
      </w:r>
    </w:p>
    <w:p>
      <w:pPr>
        <w:spacing w:after="0" w:before="0"/>
      </w:pPr>
      <w:r>
        <w:rPr>
          <w:b w:val="0"/>
          <w:sz w:val="22"/>
        </w:rPr>
        <w:t>(a) Implementation</w:t>
      </w:r>
    </w:p>
    <w:p>
      <w:pPr>
        <w:spacing w:after="0" w:before="0"/>
      </w:pPr>
      <w:r>
        <w:rPr>
          <w:b w:val="0"/>
          <w:sz w:val="22"/>
        </w:rPr>
        <w:t>(b) Evaluation</w:t>
      </w:r>
    </w:p>
    <w:p>
      <w:pPr>
        <w:spacing w:after="0" w:before="0"/>
      </w:pPr>
      <w:r>
        <w:rPr>
          <w:b w:val="0"/>
          <w:sz w:val="22"/>
        </w:rPr>
        <w:t>(c) Planning</w:t>
      </w:r>
    </w:p>
    <w:p>
      <w:pPr>
        <w:spacing w:after="0" w:before="0"/>
      </w:pPr>
      <w:r>
        <w:rPr>
          <w:b w:val="0"/>
          <w:sz w:val="22"/>
        </w:rPr>
        <w:t>(d) Assessment</w:t>
      </w:r>
    </w:p>
    <w:p>
      <w:pPr>
        <w:spacing w:after="0" w:before="40"/>
      </w:pPr>
      <w:r>
        <w:rPr>
          <w:b/>
          <w:sz w:val="22"/>
        </w:rPr>
        <w:t>Answer: d</w:t>
      </w:r>
    </w:p>
    <w:p>
      <w:pPr>
        <w:spacing w:after="0" w:before="0"/>
      </w:pPr>
      <w:r>
        <w:rPr>
          <w:b w:val="0"/>
          <w:sz w:val="21"/>
        </w:rPr>
        <w:t>Solution: The nursing process begins with assessment - collection of data about the patient's health status.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an unconscious patient, the recommended position to maintain a patent airway is:</w:t>
      </w:r>
    </w:p>
    <w:p>
      <w:pPr>
        <w:spacing w:after="0" w:before="0"/>
      </w:pPr>
      <w:r>
        <w:rPr>
          <w:b w:val="0"/>
          <w:sz w:val="22"/>
        </w:rPr>
        <w:t>(a) Supine with pillow</w:t>
      </w:r>
    </w:p>
    <w:p>
      <w:pPr>
        <w:spacing w:after="0" w:before="0"/>
      </w:pPr>
      <w:r>
        <w:rPr>
          <w:b w:val="0"/>
          <w:sz w:val="22"/>
        </w:rPr>
        <w:t>(b) Lateral (recovery) position</w:t>
      </w:r>
    </w:p>
    <w:p>
      <w:pPr>
        <w:spacing w:after="0" w:before="0"/>
      </w:pPr>
      <w:r>
        <w:rPr>
          <w:b w:val="0"/>
          <w:sz w:val="22"/>
        </w:rPr>
        <w:t>(c) Prone</w:t>
      </w:r>
    </w:p>
    <w:p>
      <w:pPr>
        <w:spacing w:after="0" w:before="0"/>
      </w:pPr>
      <w:r>
        <w:rPr>
          <w:b w:val="0"/>
          <w:sz w:val="22"/>
        </w:rPr>
        <w:t>(d) Trendelenburg</w:t>
      </w:r>
    </w:p>
    <w:p>
      <w:pPr>
        <w:spacing w:after="0" w:before="40"/>
      </w:pPr>
      <w:r>
        <w:rPr>
          <w:b/>
          <w:sz w:val="22"/>
        </w:rPr>
        <w:t>Answer: b</w:t>
      </w:r>
    </w:p>
    <w:p>
      <w:pPr>
        <w:spacing w:after="0" w:before="0"/>
      </w:pPr>
      <w:r>
        <w:rPr>
          <w:b w:val="0"/>
          <w:sz w:val="21"/>
        </w:rPr>
        <w:t>Solution: The lateral/recovery position keeps the airway open and prevents aspiration of secretions.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disactivated whole virion vaccine</w:t>
      </w:r>
    </w:p>
    <w:p>
      <w:pPr>
        <w:spacing w:after="0" w:before="0"/>
      </w:pPr>
      <w:r>
        <w:rPr>
          <w:b w:val="0"/>
          <w:sz w:val="22"/>
        </w:rPr>
        <w:t>(a) Moderna</w:t>
      </w:r>
    </w:p>
    <w:p>
      <w:pPr>
        <w:spacing w:after="0" w:before="0"/>
      </w:pPr>
      <w:r>
        <w:rPr>
          <w:b w:val="0"/>
          <w:sz w:val="22"/>
        </w:rPr>
        <w:t>(b) Covaxin</w:t>
      </w:r>
    </w:p>
    <w:p>
      <w:pPr>
        <w:spacing w:after="0" w:before="0"/>
      </w:pPr>
      <w:r>
        <w:rPr>
          <w:b w:val="0"/>
          <w:sz w:val="22"/>
        </w:rPr>
        <w:t>(c) Covishield</w:t>
      </w:r>
    </w:p>
    <w:p>
      <w:pPr>
        <w:spacing w:after="0" w:before="0"/>
      </w:pPr>
      <w:r>
        <w:rPr>
          <w:b w:val="0"/>
          <w:sz w:val="22"/>
        </w:rPr>
        <w:t>(d) Sputnik</w:t>
      </w:r>
    </w:p>
    <w:p>
      <w:pPr>
        <w:spacing w:after="0" w:before="40"/>
      </w:pPr>
      <w:r>
        <w:rPr>
          <w:b/>
          <w:sz w:val="22"/>
        </w:rPr>
        <w:t>Answer: b</w:t>
      </w:r>
    </w:p>
    <w:p>
      <w:pPr>
        <w:spacing w:after="0" w:before="0"/>
      </w:pPr>
      <w:r>
        <w:rPr>
          <w:b w:val="0"/>
          <w:sz w:val="21"/>
        </w:rPr>
        <w:t>Solution: Covaxin (BBV152) is a whole-virion inactivated vaccine; Covishield and Sputnik are vector vaccines, Moderna is mRNA.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sign of deep vein thrombosis (DVT)?</w:t>
      </w:r>
    </w:p>
    <w:p>
      <w:pPr>
        <w:spacing w:after="0" w:before="0"/>
      </w:pPr>
      <w:r>
        <w:rPr>
          <w:b w:val="0"/>
          <w:sz w:val="22"/>
        </w:rPr>
        <w:t>(a) Bounding pulses</w:t>
      </w:r>
    </w:p>
    <w:p>
      <w:pPr>
        <w:spacing w:after="0" w:before="0"/>
      </w:pPr>
      <w:r>
        <w:rPr>
          <w:b w:val="0"/>
          <w:sz w:val="22"/>
        </w:rPr>
        <w:t>(b) Calf pain and swelling</w:t>
      </w:r>
    </w:p>
    <w:p>
      <w:pPr>
        <w:spacing w:after="0" w:before="0"/>
      </w:pPr>
      <w:r>
        <w:rPr>
          <w:b w:val="0"/>
          <w:sz w:val="22"/>
        </w:rPr>
        <w:t>(c) Pale cold extremity</w:t>
      </w:r>
    </w:p>
    <w:p>
      <w:pPr>
        <w:spacing w:after="0" w:before="0"/>
      </w:pPr>
      <w:r>
        <w:rPr>
          <w:b w:val="0"/>
          <w:sz w:val="22"/>
        </w:rPr>
        <w:t>(d) Crepitus</w:t>
      </w:r>
    </w:p>
    <w:p>
      <w:pPr>
        <w:spacing w:after="0" w:before="40"/>
      </w:pPr>
      <w:r>
        <w:rPr>
          <w:b/>
          <w:sz w:val="22"/>
        </w:rPr>
        <w:t>Answer: b</w:t>
      </w:r>
    </w:p>
    <w:p>
      <w:pPr>
        <w:spacing w:after="0" w:before="0"/>
      </w:pPr>
      <w:r>
        <w:rPr>
          <w:b w:val="0"/>
          <w:sz w:val="21"/>
        </w:rPr>
        <w:t>Solution: Unilateral calf pain, swelling, warmth and a positive Homan's sign suggest deep vein thrombosis.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