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In Addison's disease, the nurse should observe the patient for:</w:t>
      </w:r>
    </w:p>
    <w:p>
      <w:pPr>
        <w:spacing w:after="0" w:before="0"/>
      </w:pPr>
      <w:r>
        <w:rPr>
          <w:b w:val="0"/>
          <w:sz w:val="22"/>
        </w:rPr>
        <w:t>(a) Hypertension and oedema</w:t>
      </w:r>
    </w:p>
    <w:p>
      <w:pPr>
        <w:spacing w:after="0" w:before="0"/>
      </w:pPr>
      <w:r>
        <w:rPr>
          <w:b w:val="0"/>
          <w:sz w:val="22"/>
        </w:rPr>
        <w:t>(b) Hypotension and hyperpigmentation</w:t>
      </w:r>
    </w:p>
    <w:p>
      <w:pPr>
        <w:spacing w:after="0" w:before="0"/>
      </w:pPr>
      <w:r>
        <w:rPr>
          <w:b w:val="0"/>
          <w:sz w:val="22"/>
        </w:rPr>
        <w:t>(c) Weight gain and moon face</w:t>
      </w:r>
    </w:p>
    <w:p>
      <w:pPr>
        <w:spacing w:after="0" w:before="0"/>
      </w:pPr>
      <w:r>
        <w:rPr>
          <w:b w:val="0"/>
          <w:sz w:val="22"/>
        </w:rPr>
        <w:t>(d) Hyperthermia and polyuria</w:t>
      </w:r>
    </w:p>
    <w:p>
      <w:pPr>
        <w:spacing w:after="0" w:before="40"/>
      </w:pPr>
      <w:r>
        <w:rPr>
          <w:b/>
          <w:sz w:val="22"/>
        </w:rPr>
        <w:t>Answer: b</w:t>
      </w:r>
    </w:p>
    <w:p>
      <w:pPr>
        <w:spacing w:after="0" w:before="0"/>
      </w:pPr>
      <w:r>
        <w:rPr>
          <w:b w:val="0"/>
          <w:sz w:val="21"/>
        </w:rPr>
        <w:t>Solution: Addison's disease causes hypotension, fatigue, hyperpigmentation and hyponatremia.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DMPA (injectable contraceptive) is supplied by the Government of India free of cost. What is its brand name?</w:t>
      </w:r>
    </w:p>
    <w:p>
      <w:pPr>
        <w:spacing w:after="0" w:before="0"/>
      </w:pPr>
      <w:r>
        <w:rPr>
          <w:b w:val="0"/>
          <w:sz w:val="22"/>
        </w:rPr>
        <w:t>(a) Antra</w:t>
      </w:r>
    </w:p>
    <w:p>
      <w:pPr>
        <w:spacing w:after="0" w:before="0"/>
      </w:pPr>
      <w:r>
        <w:rPr>
          <w:b w:val="0"/>
          <w:sz w:val="22"/>
        </w:rPr>
        <w:t>(b) Chayya</w:t>
      </w:r>
    </w:p>
    <w:p>
      <w:pPr>
        <w:spacing w:after="0" w:before="0"/>
      </w:pPr>
      <w:r>
        <w:rPr>
          <w:b w:val="0"/>
          <w:sz w:val="22"/>
        </w:rPr>
        <w:t>(c) Nirodh</w:t>
      </w:r>
    </w:p>
    <w:p>
      <w:pPr>
        <w:spacing w:after="0" w:before="0"/>
      </w:pPr>
      <w:r>
        <w:rPr>
          <w:b w:val="0"/>
          <w:sz w:val="22"/>
        </w:rPr>
        <w:t>(d) Saheli</w:t>
      </w:r>
    </w:p>
    <w:p>
      <w:pPr>
        <w:spacing w:after="0" w:before="40"/>
      </w:pPr>
      <w:r>
        <w:rPr>
          <w:b/>
          <w:sz w:val="22"/>
        </w:rPr>
        <w:t>Answer: a</w:t>
      </w:r>
    </w:p>
    <w:p>
      <w:pPr>
        <w:spacing w:after="0" w:before="0"/>
      </w:pPr>
      <w:r>
        <w:rPr>
          <w:b w:val="0"/>
          <w:sz w:val="21"/>
        </w:rPr>
        <w:t>Solution: Antara is injectable contraceptive brand name for , effective for three months drug whereas Chayya is contraceptive pill under brand name of saheli, effective for one week</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28-year-old primigravida attends the ANC OPD. How many additional kilocalories per day are recommended during pregnancy?</w:t>
      </w:r>
    </w:p>
    <w:p>
      <w:pPr>
        <w:spacing w:after="0" w:before="0"/>
      </w:pPr>
      <w:r>
        <w:rPr>
          <w:b w:val="0"/>
          <w:sz w:val="22"/>
        </w:rPr>
        <w:t>(a) 200 kcal</w:t>
      </w:r>
    </w:p>
    <w:p>
      <w:pPr>
        <w:spacing w:after="0" w:before="0"/>
      </w:pPr>
      <w:r>
        <w:rPr>
          <w:b w:val="0"/>
          <w:sz w:val="22"/>
        </w:rPr>
        <w:t>(b) 500 kcal</w:t>
      </w:r>
    </w:p>
    <w:p>
      <w:pPr>
        <w:spacing w:after="0" w:before="0"/>
      </w:pPr>
      <w:r>
        <w:rPr>
          <w:b w:val="0"/>
          <w:sz w:val="22"/>
        </w:rPr>
        <w:t>(c) 1000 kcal</w:t>
      </w:r>
    </w:p>
    <w:p>
      <w:pPr>
        <w:spacing w:after="0" w:before="0"/>
      </w:pPr>
      <w:r>
        <w:rPr>
          <w:b w:val="0"/>
          <w:sz w:val="22"/>
        </w:rPr>
        <w:t>(d) 300 kcal</w:t>
      </w:r>
    </w:p>
    <w:p>
      <w:pPr>
        <w:spacing w:after="0" w:before="40"/>
      </w:pPr>
      <w:r>
        <w:rPr>
          <w:b/>
          <w:sz w:val="22"/>
        </w:rPr>
        <w:t>Answer: d</w:t>
      </w:r>
    </w:p>
    <w:p>
      <w:pPr>
        <w:spacing w:after="0" w:before="0"/>
      </w:pPr>
      <w:r>
        <w:rPr>
          <w:b w:val="0"/>
          <w:sz w:val="21"/>
        </w:rPr>
        <w:t>Solution: ICMR guidelines recommend an additional energy intake of +350 kcal/day (approx 300 kcal) during pregnancy to support fetal growth and maternal tissue development.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nurse has just performed an NG tube insertion procedure. Most accurate method for confirming the NG tube placement is ___________</w:t>
      </w:r>
    </w:p>
    <w:p>
      <w:pPr>
        <w:spacing w:after="0" w:before="0"/>
      </w:pPr>
      <w:r>
        <w:rPr>
          <w:b w:val="0"/>
          <w:sz w:val="22"/>
        </w:rPr>
        <w:t>(a) X - ray</w:t>
      </w:r>
    </w:p>
    <w:p>
      <w:pPr>
        <w:spacing w:after="0" w:before="0"/>
      </w:pPr>
      <w:r>
        <w:rPr>
          <w:b w:val="0"/>
          <w:sz w:val="22"/>
        </w:rPr>
        <w:t>(b) Auscultation</w:t>
      </w:r>
    </w:p>
    <w:p>
      <w:pPr>
        <w:spacing w:after="0" w:before="0"/>
      </w:pPr>
      <w:r>
        <w:rPr>
          <w:b w:val="0"/>
          <w:sz w:val="22"/>
        </w:rPr>
        <w:t>(c) Dip in a bowel of water</w:t>
      </w:r>
    </w:p>
    <w:p>
      <w:pPr>
        <w:spacing w:after="0" w:before="0"/>
      </w:pPr>
      <w:r>
        <w:rPr>
          <w:b w:val="0"/>
          <w:sz w:val="22"/>
        </w:rPr>
        <w:t>(d) Observing patient for coughing aspiration of content and pH monitoring</w:t>
      </w:r>
    </w:p>
    <w:p>
      <w:pPr>
        <w:spacing w:after="0" w:before="40"/>
      </w:pPr>
      <w:r>
        <w:rPr>
          <w:b/>
          <w:sz w:val="22"/>
        </w:rPr>
        <w:t>Answer: a</w:t>
      </w:r>
    </w:p>
    <w:p>
      <w:pPr>
        <w:spacing w:after="0" w:before="0"/>
      </w:pPr>
      <w:r>
        <w:rPr>
          <w:b w:val="0"/>
          <w:sz w:val="21"/>
        </w:rPr>
        <w:t>Solution: The most accurate method to confirm NG tube placement is an X-ray; auscultation and other methods are less reliable.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psychiatric client getting the antipsychotic drugs, and the client getting the symptoms of agitation, as? feeling of restlessness, dysphoria, and difficulty in sleeping, the group of this adverse effect is called</w:t>
      </w:r>
    </w:p>
    <w:p>
      <w:pPr>
        <w:spacing w:after="0" w:before="0"/>
      </w:pPr>
      <w:r>
        <w:rPr>
          <w:b w:val="0"/>
          <w:sz w:val="22"/>
        </w:rPr>
        <w:t>(a) Dyskinesia</w:t>
      </w:r>
    </w:p>
    <w:p>
      <w:pPr>
        <w:spacing w:after="0" w:before="0"/>
      </w:pPr>
      <w:r>
        <w:rPr>
          <w:b w:val="0"/>
          <w:sz w:val="22"/>
        </w:rPr>
        <w:t>(b) Shakiness</w:t>
      </w:r>
    </w:p>
    <w:p>
      <w:pPr>
        <w:spacing w:after="0" w:before="0"/>
      </w:pPr>
      <w:r>
        <w:rPr>
          <w:b w:val="0"/>
          <w:sz w:val="22"/>
        </w:rPr>
        <w:t>(c) Tardive dyskinesia</w:t>
      </w:r>
    </w:p>
    <w:p>
      <w:pPr>
        <w:spacing w:after="0" w:before="0"/>
      </w:pPr>
      <w:r>
        <w:rPr>
          <w:b w:val="0"/>
          <w:sz w:val="22"/>
        </w:rPr>
        <w:t>(d) Akathesia</w:t>
      </w:r>
    </w:p>
    <w:p>
      <w:pPr>
        <w:spacing w:after="0" w:before="40"/>
      </w:pPr>
      <w:r>
        <w:rPr>
          <w:b/>
          <w:sz w:val="22"/>
        </w:rPr>
        <w:t>Answer: d</w:t>
      </w:r>
    </w:p>
    <w:p>
      <w:pPr>
        <w:spacing w:after="0" w:before="0"/>
      </w:pPr>
      <w:r>
        <w:rPr>
          <w:b w:val="0"/>
          <w:sz w:val="21"/>
        </w:rPr>
        <w:t>Solution: Akathisia - intense subjective restlessness and pacing - is a common extrapyramidal side effect of antipsychotic drugs.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with cirrhosis becomes confused, drowsy and develops asterixis. Which nursing action has the highest priority?</w:t>
      </w:r>
    </w:p>
    <w:p>
      <w:pPr>
        <w:spacing w:after="0" w:before="0"/>
      </w:pPr>
      <w:r>
        <w:rPr>
          <w:b w:val="0"/>
          <w:sz w:val="22"/>
        </w:rPr>
        <w:t>(a) Prepare to administer lactulose as ordered</w:t>
      </w:r>
    </w:p>
    <w:p>
      <w:pPr>
        <w:spacing w:after="0" w:before="0"/>
      </w:pPr>
      <w:r>
        <w:rPr>
          <w:b w:val="0"/>
          <w:sz w:val="22"/>
        </w:rPr>
        <w:t>(b) Place the client in the supine position</w:t>
      </w:r>
    </w:p>
    <w:p>
      <w:pPr>
        <w:spacing w:after="0" w:before="0"/>
      </w:pPr>
      <w:r>
        <w:rPr>
          <w:b w:val="0"/>
          <w:sz w:val="22"/>
        </w:rPr>
        <w:t>(c) Increase dietary sodium intake</w:t>
      </w:r>
    </w:p>
    <w:p>
      <w:pPr>
        <w:spacing w:after="0" w:before="0"/>
      </w:pPr>
      <w:r>
        <w:rPr>
          <w:b w:val="0"/>
          <w:sz w:val="22"/>
        </w:rPr>
        <w:t>(d) Restrict dietary protein immediately</w:t>
      </w:r>
    </w:p>
    <w:p>
      <w:pPr>
        <w:spacing w:after="0" w:before="40"/>
      </w:pPr>
      <w:r>
        <w:rPr>
          <w:b/>
          <w:sz w:val="22"/>
        </w:rPr>
        <w:t>Answer: a</w:t>
      </w:r>
    </w:p>
    <w:p>
      <w:pPr>
        <w:spacing w:after="0" w:before="0"/>
      </w:pPr>
      <w:r>
        <w:rPr>
          <w:b w:val="0"/>
          <w:sz w:val="21"/>
        </w:rPr>
        <w:t>Solution: Confusion and asterixis indicate hepatic encephalopathy; lactulose reduces serum ammonia (by trapping it in the gut) and is the priority treatment.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a vector-borne disease?</w:t>
      </w:r>
    </w:p>
    <w:p>
      <w:pPr>
        <w:spacing w:after="0" w:before="0"/>
      </w:pPr>
      <w:r>
        <w:rPr>
          <w:b w:val="0"/>
          <w:sz w:val="22"/>
        </w:rPr>
        <w:t>(a) Cholera</w:t>
      </w:r>
    </w:p>
    <w:p>
      <w:pPr>
        <w:spacing w:after="0" w:before="0"/>
      </w:pPr>
      <w:r>
        <w:rPr>
          <w:b w:val="0"/>
          <w:sz w:val="22"/>
        </w:rPr>
        <w:t>(b) Dengue</w:t>
      </w:r>
    </w:p>
    <w:p>
      <w:pPr>
        <w:spacing w:after="0" w:before="0"/>
      </w:pPr>
      <w:r>
        <w:rPr>
          <w:b w:val="0"/>
          <w:sz w:val="22"/>
        </w:rPr>
        <w:t>(c) Tuberculosis</w:t>
      </w:r>
    </w:p>
    <w:p>
      <w:pPr>
        <w:spacing w:after="0" w:before="0"/>
      </w:pPr>
      <w:r>
        <w:rPr>
          <w:b w:val="0"/>
          <w:sz w:val="22"/>
        </w:rPr>
        <w:t>(d) Hepatitis A</w:t>
      </w:r>
    </w:p>
    <w:p>
      <w:pPr>
        <w:spacing w:after="0" w:before="40"/>
      </w:pPr>
      <w:r>
        <w:rPr>
          <w:b/>
          <w:sz w:val="22"/>
        </w:rPr>
        <w:t>Answer: b</w:t>
      </w:r>
    </w:p>
    <w:p>
      <w:pPr>
        <w:spacing w:after="0" w:before="0"/>
      </w:pPr>
      <w:r>
        <w:rPr>
          <w:b w:val="0"/>
          <w:sz w:val="21"/>
        </w:rPr>
        <w:t>Solution: Dengue is transmitted by the Aedes aegypti mosquito, making it a vector-borne disease.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During IV Potassium Chloride (KCl) correction, which ECG change indicates hyperkalemia requiring immediate stoppage of infusion?</w:t>
      </w:r>
    </w:p>
    <w:p>
      <w:pPr>
        <w:spacing w:after="0" w:before="0"/>
      </w:pPr>
      <w:r>
        <w:rPr>
          <w:b w:val="0"/>
          <w:sz w:val="22"/>
        </w:rPr>
        <w:t>(a) Shallow inverted T wave</w:t>
      </w:r>
    </w:p>
    <w:p>
      <w:pPr>
        <w:spacing w:after="0" w:before="0"/>
      </w:pPr>
      <w:r>
        <w:rPr>
          <w:b w:val="0"/>
          <w:sz w:val="22"/>
        </w:rPr>
        <w:t>(b) Tall peaked T waves</w:t>
      </w:r>
    </w:p>
    <w:p>
      <w:pPr>
        <w:spacing w:after="0" w:before="0"/>
      </w:pPr>
      <w:r>
        <w:rPr>
          <w:b w:val="0"/>
          <w:sz w:val="22"/>
        </w:rPr>
        <w:t>(c) Prominent U wave</w:t>
      </w:r>
    </w:p>
    <w:p>
      <w:pPr>
        <w:spacing w:after="0" w:before="0"/>
      </w:pPr>
      <w:r>
        <w:rPr>
          <w:b w:val="0"/>
          <w:sz w:val="22"/>
        </w:rPr>
        <w:t>(d) Depressed ST segment</w:t>
      </w:r>
    </w:p>
    <w:p>
      <w:pPr>
        <w:spacing w:after="0" w:before="40"/>
      </w:pPr>
      <w:r>
        <w:rPr>
          <w:b/>
          <w:sz w:val="22"/>
        </w:rPr>
        <w:t>Answer: b</w:t>
      </w:r>
    </w:p>
    <w:p>
      <w:pPr>
        <w:spacing w:after="0" w:before="0"/>
      </w:pPr>
      <w:r>
        <w:rPr>
          <w:b w:val="0"/>
          <w:sz w:val="21"/>
        </w:rPr>
        <w:t>Solution: Tall peaked T waves are the earliest ECG sign of hyperkalemia. Immediate cessation of IV potassium infusion is required to avoid lethal dysrhythmias.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nurse uses DPT vaccine and found that vial has granules. What is the next nursing action?</w:t>
      </w:r>
    </w:p>
    <w:p>
      <w:pPr>
        <w:spacing w:after="0" w:before="0"/>
      </w:pPr>
      <w:r>
        <w:rPr>
          <w:b w:val="0"/>
          <w:sz w:val="22"/>
        </w:rPr>
        <w:t>(a) Keep using the vial</w:t>
      </w:r>
    </w:p>
    <w:p>
      <w:pPr>
        <w:spacing w:after="0" w:before="0"/>
      </w:pPr>
      <w:r>
        <w:rPr>
          <w:b w:val="0"/>
          <w:sz w:val="22"/>
        </w:rPr>
        <w:t>(b) Shake vigorously</w:t>
      </w:r>
    </w:p>
    <w:p>
      <w:pPr>
        <w:spacing w:after="0" w:before="0"/>
      </w:pPr>
      <w:r>
        <w:rPr>
          <w:b w:val="0"/>
          <w:sz w:val="22"/>
        </w:rPr>
        <w:t>(c) Check after 15 min</w:t>
      </w:r>
    </w:p>
    <w:p>
      <w:pPr>
        <w:spacing w:after="0" w:before="0"/>
      </w:pPr>
      <w:r>
        <w:rPr>
          <w:b w:val="0"/>
          <w:sz w:val="22"/>
        </w:rPr>
        <w:t>(d) Discard the vial</w:t>
      </w:r>
    </w:p>
    <w:p>
      <w:pPr>
        <w:spacing w:after="0" w:before="40"/>
      </w:pPr>
      <w:r>
        <w:rPr>
          <w:b/>
          <w:sz w:val="22"/>
        </w:rPr>
        <w:t>Answer: d</w:t>
      </w:r>
    </w:p>
    <w:p>
      <w:pPr>
        <w:spacing w:after="0" w:before="0"/>
      </w:pPr>
      <w:r>
        <w:rPr>
          <w:b w:val="0"/>
          <w:sz w:val="21"/>
        </w:rPr>
        <w:t>Solution: A DPT vial showing granules has lost potency and must be discarded.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COPD patient given O2 by venturi mask then nursing priority action ?</w:t>
      </w:r>
    </w:p>
    <w:p>
      <w:pPr>
        <w:spacing w:after="0" w:before="0"/>
      </w:pPr>
      <w:r>
        <w:rPr>
          <w:b w:val="0"/>
          <w:sz w:val="22"/>
        </w:rPr>
        <w:t>(a) Assess the dryness of nose</w:t>
      </w:r>
    </w:p>
    <w:p>
      <w:pPr>
        <w:spacing w:after="0" w:before="0"/>
      </w:pPr>
      <w:r>
        <w:rPr>
          <w:b w:val="0"/>
          <w:sz w:val="22"/>
        </w:rPr>
        <w:t>(b) Cheque altertness</w:t>
      </w:r>
    </w:p>
    <w:p>
      <w:pPr>
        <w:spacing w:after="0" w:before="0"/>
      </w:pPr>
      <w:r>
        <w:rPr>
          <w:b w:val="0"/>
          <w:sz w:val="22"/>
        </w:rPr>
        <w:t>(c) Provide hot liquid</w:t>
      </w:r>
    </w:p>
    <w:p>
      <w:pPr>
        <w:spacing w:after="0" w:before="0"/>
      </w:pPr>
      <w:r>
        <w:rPr>
          <w:b w:val="0"/>
          <w:sz w:val="22"/>
        </w:rPr>
        <w:t>(d) Provide supine position</w:t>
      </w:r>
    </w:p>
    <w:p>
      <w:pPr>
        <w:spacing w:after="0" w:before="40"/>
      </w:pPr>
      <w:r>
        <w:rPr>
          <w:b/>
          <w:sz w:val="22"/>
        </w:rPr>
        <w:t>Answer: a</w:t>
      </w:r>
    </w:p>
    <w:p>
      <w:pPr>
        <w:spacing w:after="0" w:before="0"/>
      </w:pPr>
      <w:r>
        <w:rPr>
          <w:b w:val="0"/>
          <w:sz w:val="21"/>
        </w:rPr>
        <w:t>Solution: In a COPD patient on a venturi mask, the nurse assesses dryness of the nasal mucosa as oxygen therapy can dry the airway; humidification is maintained.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most appropriate site for checking capillary refill time is:</w:t>
      </w:r>
    </w:p>
    <w:p>
      <w:pPr>
        <w:spacing w:after="0" w:before="0"/>
      </w:pPr>
      <w:r>
        <w:rPr>
          <w:b w:val="0"/>
          <w:sz w:val="22"/>
        </w:rPr>
        <w:t>(a) Sternum</w:t>
      </w:r>
    </w:p>
    <w:p>
      <w:pPr>
        <w:spacing w:after="0" w:before="0"/>
      </w:pPr>
      <w:r>
        <w:rPr>
          <w:b w:val="0"/>
          <w:sz w:val="22"/>
        </w:rPr>
        <w:t>(b) Fingernail bed</w:t>
      </w:r>
    </w:p>
    <w:p>
      <w:pPr>
        <w:spacing w:after="0" w:before="0"/>
      </w:pPr>
      <w:r>
        <w:rPr>
          <w:b w:val="0"/>
          <w:sz w:val="22"/>
        </w:rPr>
        <w:t>(c) Forehead</w:t>
      </w:r>
    </w:p>
    <w:p>
      <w:pPr>
        <w:spacing w:after="0" w:before="0"/>
      </w:pPr>
      <w:r>
        <w:rPr>
          <w:b w:val="0"/>
          <w:sz w:val="22"/>
        </w:rPr>
        <w:t>(d) Earlobe</w:t>
      </w:r>
    </w:p>
    <w:p>
      <w:pPr>
        <w:spacing w:after="0" w:before="40"/>
      </w:pPr>
      <w:r>
        <w:rPr>
          <w:b/>
          <w:sz w:val="22"/>
        </w:rPr>
        <w:t>Answer: b</w:t>
      </w:r>
    </w:p>
    <w:p>
      <w:pPr>
        <w:spacing w:after="0" w:before="0"/>
      </w:pPr>
      <w:r>
        <w:rPr>
          <w:b w:val="0"/>
          <w:sz w:val="21"/>
        </w:rPr>
        <w:t>Solution: Capillary refill is checked by pressing the fingernail bed; normal refill is less than 3 seconds.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initial nursing intervention for a patient who experiences breathing difficulties during a blood transfusion?</w:t>
      </w:r>
    </w:p>
    <w:p>
      <w:pPr>
        <w:spacing w:after="0" w:before="0"/>
      </w:pPr>
      <w:r>
        <w:rPr>
          <w:b w:val="0"/>
          <w:sz w:val="22"/>
        </w:rPr>
        <w:t>(a) Continue blood transfusion and give adrenaline</w:t>
      </w:r>
    </w:p>
    <w:p>
      <w:pPr>
        <w:spacing w:after="0" w:before="0"/>
      </w:pPr>
      <w:r>
        <w:rPr>
          <w:b w:val="0"/>
          <w:sz w:val="22"/>
        </w:rPr>
        <w:t>(b) Stop the infusion and Inform to the doctor</w:t>
      </w:r>
    </w:p>
    <w:p>
      <w:pPr>
        <w:spacing w:after="0" w:before="0"/>
      </w:pPr>
      <w:r>
        <w:rPr>
          <w:b w:val="0"/>
          <w:sz w:val="22"/>
        </w:rPr>
        <w:t>(c) Stop blood transfusion and administer hydrocortisone</w:t>
      </w:r>
    </w:p>
    <w:p>
      <w:pPr>
        <w:spacing w:after="0" w:before="0"/>
      </w:pPr>
      <w:r>
        <w:rPr>
          <w:b w:val="0"/>
          <w:sz w:val="22"/>
        </w:rPr>
        <w:t>(d) Continue blood transfusion and give DOC calcium</w:t>
      </w:r>
    </w:p>
    <w:p>
      <w:pPr>
        <w:spacing w:after="0" w:before="40"/>
      </w:pPr>
      <w:r>
        <w:rPr>
          <w:b/>
          <w:sz w:val="22"/>
        </w:rPr>
        <w:t>Answer: b</w:t>
      </w:r>
    </w:p>
    <w:p>
      <w:pPr>
        <w:spacing w:after="0" w:before="0"/>
      </w:pPr>
      <w:r>
        <w:rPr>
          <w:b w:val="0"/>
          <w:sz w:val="21"/>
        </w:rPr>
        <w:t>Solution: The priority nursing intervention for a patient with breathing difficulties during a blood transfusion is to stop the infusion immediately and inform the physician. This may indicate a transfusion reaction, such as transfusion-associated circulatory overload (TACO) or transfusion-related acute lung injury (TRALI), which requires prompt medical attention. Nurses should also closely monitor the patient's vital signs, maintain a patent airway, and administer supplemental oxygen as necessary.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patient is having hyperventilation and CO2 level is below normal range. Priority nursing management in this patient is?</w:t>
      </w:r>
    </w:p>
    <w:p>
      <w:pPr>
        <w:spacing w:after="0" w:before="0"/>
      </w:pPr>
      <w:r>
        <w:rPr>
          <w:b w:val="0"/>
          <w:sz w:val="22"/>
        </w:rPr>
        <w:t>(a) Inform the doctor</w:t>
      </w:r>
    </w:p>
    <w:p>
      <w:pPr>
        <w:spacing w:after="0" w:before="0"/>
      </w:pPr>
      <w:r>
        <w:rPr>
          <w:b w:val="0"/>
          <w:sz w:val="22"/>
        </w:rPr>
        <w:t>(b) Give O2 directly</w:t>
      </w:r>
    </w:p>
    <w:p>
      <w:pPr>
        <w:spacing w:after="0" w:before="0"/>
      </w:pPr>
      <w:r>
        <w:rPr>
          <w:b w:val="0"/>
          <w:sz w:val="22"/>
        </w:rPr>
        <w:t>(c) Paper bag breath</w:t>
      </w:r>
    </w:p>
    <w:p>
      <w:pPr>
        <w:spacing w:after="0" w:before="0"/>
      </w:pPr>
      <w:r>
        <w:rPr>
          <w:b w:val="0"/>
          <w:sz w:val="22"/>
        </w:rPr>
        <w:t>(d) Give sedative</w:t>
      </w:r>
    </w:p>
    <w:p>
      <w:pPr>
        <w:spacing w:after="0" w:before="40"/>
      </w:pPr>
      <w:r>
        <w:rPr>
          <w:b/>
          <w:sz w:val="22"/>
        </w:rPr>
        <w:t>Answer: c</w:t>
      </w:r>
    </w:p>
    <w:p>
      <w:pPr>
        <w:spacing w:after="0" w:before="0"/>
      </w:pPr>
      <w:r>
        <w:rPr>
          <w:b w:val="0"/>
          <w:sz w:val="21"/>
        </w:rPr>
        <w:t>Solution: In hyperventilation with low CO2, priority management is rebreathing into a paper bag to raise CO2 levels.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is the EARLIEST sign of respiratory distress in an infant?</w:t>
      </w:r>
    </w:p>
    <w:p>
      <w:pPr>
        <w:spacing w:after="0" w:before="0"/>
      </w:pPr>
      <w:r>
        <w:rPr>
          <w:b w:val="0"/>
          <w:sz w:val="22"/>
        </w:rPr>
        <w:t>(a) Nasal flaring</w:t>
      </w:r>
    </w:p>
    <w:p>
      <w:pPr>
        <w:spacing w:after="0" w:before="0"/>
      </w:pPr>
      <w:r>
        <w:rPr>
          <w:b w:val="0"/>
          <w:sz w:val="22"/>
        </w:rPr>
        <w:t>(b) Cyanosis</w:t>
      </w:r>
    </w:p>
    <w:p>
      <w:pPr>
        <w:spacing w:after="0" w:before="0"/>
      </w:pPr>
      <w:r>
        <w:rPr>
          <w:b w:val="0"/>
          <w:sz w:val="22"/>
        </w:rPr>
        <w:t>(c) Bradycardia</w:t>
      </w:r>
    </w:p>
    <w:p>
      <w:pPr>
        <w:spacing w:after="0" w:before="0"/>
      </w:pPr>
      <w:r>
        <w:rPr>
          <w:b w:val="0"/>
          <w:sz w:val="22"/>
        </w:rPr>
        <w:t>(d) Gasping respirations</w:t>
      </w:r>
    </w:p>
    <w:p>
      <w:pPr>
        <w:spacing w:after="0" w:before="40"/>
      </w:pPr>
      <w:r>
        <w:rPr>
          <w:b/>
          <w:sz w:val="22"/>
        </w:rPr>
        <w:t>Answer: a</w:t>
      </w:r>
    </w:p>
    <w:p>
      <w:pPr>
        <w:spacing w:after="0" w:before="0"/>
      </w:pPr>
      <w:r>
        <w:rPr>
          <w:b w:val="0"/>
          <w:sz w:val="21"/>
        </w:rPr>
        <w:t>Solution: Nasal flaring, grunting, retractions and tachypnea appear early; cyanosis and bradycardia are late, pre-arrest signs.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Severe, painful vaginal bleeding in the third trimester (34 weeks) with uterine tenderness indicates</w:t>
      </w:r>
    </w:p>
    <w:p>
      <w:pPr>
        <w:spacing w:after="0" w:before="0"/>
      </w:pPr>
      <w:r>
        <w:rPr>
          <w:b w:val="0"/>
          <w:sz w:val="22"/>
        </w:rPr>
        <w:t>(a) Placenta Previa</w:t>
      </w:r>
    </w:p>
    <w:p>
      <w:pPr>
        <w:spacing w:after="0" w:before="0"/>
      </w:pPr>
      <w:r>
        <w:rPr>
          <w:b w:val="0"/>
          <w:sz w:val="22"/>
        </w:rPr>
        <w:t>(b) Placenta Percreta</w:t>
      </w:r>
    </w:p>
    <w:p>
      <w:pPr>
        <w:spacing w:after="0" w:before="0"/>
      </w:pPr>
      <w:r>
        <w:rPr>
          <w:b w:val="0"/>
          <w:sz w:val="22"/>
        </w:rPr>
        <w:t>(c) Abruptio Placentae</w:t>
      </w:r>
    </w:p>
    <w:p>
      <w:pPr>
        <w:spacing w:after="0" w:before="0"/>
      </w:pPr>
      <w:r>
        <w:rPr>
          <w:b w:val="0"/>
          <w:sz w:val="22"/>
        </w:rPr>
        <w:t>(d) Placenta Accreta</w:t>
      </w:r>
    </w:p>
    <w:p>
      <w:pPr>
        <w:spacing w:after="0" w:before="40"/>
      </w:pPr>
      <w:r>
        <w:rPr>
          <w:b/>
          <w:sz w:val="22"/>
        </w:rPr>
        <w:t>Answer: c</w:t>
      </w:r>
    </w:p>
    <w:p>
      <w:pPr>
        <w:spacing w:after="0" w:before="0"/>
      </w:pPr>
      <w:r>
        <w:rPr>
          <w:b w:val="0"/>
          <w:sz w:val="21"/>
        </w:rPr>
        <w:t>Solution: Abruptio Placentae presents with painful dark vaginal bleeding, uterine hypertonia, and abdominal pain due to premature placental separation.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Intermittent positive pressure breathing is contraindicated in:</w:t>
      </w:r>
    </w:p>
    <w:p>
      <w:pPr>
        <w:spacing w:after="0" w:before="0"/>
      </w:pPr>
      <w:r>
        <w:rPr>
          <w:b w:val="0"/>
          <w:sz w:val="22"/>
        </w:rPr>
        <w:t>(a) Pulmonary edema</w:t>
      </w:r>
    </w:p>
    <w:p>
      <w:pPr>
        <w:spacing w:after="0" w:before="0"/>
      </w:pPr>
      <w:r>
        <w:rPr>
          <w:b w:val="0"/>
          <w:sz w:val="22"/>
        </w:rPr>
        <w:t>(b) Tracheoesophageal fistula</w:t>
      </w:r>
    </w:p>
    <w:p>
      <w:pPr>
        <w:spacing w:after="0" w:before="0"/>
      </w:pPr>
      <w:r>
        <w:rPr>
          <w:b w:val="0"/>
          <w:sz w:val="22"/>
        </w:rPr>
        <w:t>(c) Asthma</w:t>
      </w:r>
    </w:p>
    <w:p>
      <w:pPr>
        <w:spacing w:after="0" w:before="0"/>
      </w:pPr>
      <w:r>
        <w:rPr>
          <w:b w:val="0"/>
          <w:sz w:val="22"/>
        </w:rPr>
        <w:t>(d) Comatose patient</w:t>
      </w:r>
    </w:p>
    <w:p>
      <w:pPr>
        <w:spacing w:after="0" w:before="40"/>
      </w:pPr>
      <w:r>
        <w:rPr>
          <w:b/>
          <w:sz w:val="22"/>
        </w:rPr>
        <w:t>Answer: b</w:t>
      </w:r>
    </w:p>
    <w:p>
      <w:pPr>
        <w:spacing w:after="0" w:before="0"/>
      </w:pPr>
      <w:r>
        <w:rPr>
          <w:b w:val="0"/>
          <w:sz w:val="21"/>
        </w:rPr>
        <w:t>Solution: IPPB is contraindicated in tracheo-oesophageal fistula (air leaks through the fistula instead of ventilating the lungs).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communication technique is most therapeutic for a withdrawn, depressed client?</w:t>
      </w:r>
    </w:p>
    <w:p>
      <w:pPr>
        <w:spacing w:after="0" w:before="0"/>
      </w:pPr>
      <w:r>
        <w:rPr>
          <w:b w:val="0"/>
          <w:sz w:val="22"/>
        </w:rPr>
        <w:t>(a) 'Everyone feels sad sometimes.'</w:t>
      </w:r>
    </w:p>
    <w:p>
      <w:pPr>
        <w:spacing w:after="0" w:before="0"/>
      </w:pPr>
      <w:r>
        <w:rPr>
          <w:b w:val="0"/>
          <w:sz w:val="22"/>
        </w:rPr>
        <w:t>(b) 'Tell me more about how you are feeling.'</w:t>
      </w:r>
    </w:p>
    <w:p>
      <w:pPr>
        <w:spacing w:after="0" w:before="0"/>
      </w:pPr>
      <w:r>
        <w:rPr>
          <w:b w:val="0"/>
          <w:sz w:val="22"/>
        </w:rPr>
        <w:t>(c) 'You should not feel so sad.'</w:t>
      </w:r>
    </w:p>
    <w:p>
      <w:pPr>
        <w:spacing w:after="0" w:before="0"/>
      </w:pPr>
      <w:r>
        <w:rPr>
          <w:b w:val="0"/>
          <w:sz w:val="22"/>
        </w:rPr>
        <w:t>(d) 'Why do you feel this way?'</w:t>
      </w:r>
    </w:p>
    <w:p>
      <w:pPr>
        <w:spacing w:after="0" w:before="40"/>
      </w:pPr>
      <w:r>
        <w:rPr>
          <w:b/>
          <w:sz w:val="22"/>
        </w:rPr>
        <w:t>Answer: b</w:t>
      </w:r>
    </w:p>
    <w:p>
      <w:pPr>
        <w:spacing w:after="0" w:before="0"/>
      </w:pPr>
      <w:r>
        <w:rPr>
          <w:b w:val="0"/>
          <w:sz w:val="21"/>
        </w:rPr>
        <w:t>Solution: Open-ended, accepting statements ('Tell me more…') encourage expression; the other responses judge, belittle or close off communication.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vaccine can be frozen during storage?</w:t>
      </w:r>
    </w:p>
    <w:p>
      <w:pPr>
        <w:spacing w:after="0" w:before="0"/>
      </w:pPr>
      <w:r>
        <w:rPr>
          <w:b w:val="0"/>
          <w:sz w:val="22"/>
        </w:rPr>
        <w:t>(a) Polio (OPV)</w:t>
      </w:r>
    </w:p>
    <w:p>
      <w:pPr>
        <w:spacing w:after="0" w:before="0"/>
      </w:pPr>
      <w:r>
        <w:rPr>
          <w:b w:val="0"/>
          <w:sz w:val="22"/>
        </w:rPr>
        <w:t>(b) DPT / DT</w:t>
      </w:r>
    </w:p>
    <w:p>
      <w:pPr>
        <w:spacing w:after="0" w:before="0"/>
      </w:pPr>
      <w:r>
        <w:rPr>
          <w:b w:val="0"/>
          <w:sz w:val="22"/>
        </w:rPr>
        <w:t>(c) BCG</w:t>
      </w:r>
    </w:p>
    <w:p>
      <w:pPr>
        <w:spacing w:after="0" w:before="0"/>
      </w:pPr>
      <w:r>
        <w:rPr>
          <w:b w:val="0"/>
          <w:sz w:val="22"/>
        </w:rPr>
        <w:t>(d) MMR</w:t>
      </w:r>
    </w:p>
    <w:p>
      <w:pPr>
        <w:spacing w:after="0" w:before="40"/>
      </w:pPr>
      <w:r>
        <w:rPr>
          <w:b/>
          <w:sz w:val="22"/>
        </w:rPr>
        <w:t>Answer: d</w:t>
      </w:r>
    </w:p>
    <w:p>
      <w:pPr>
        <w:spacing w:after="0" w:before="0"/>
      </w:pPr>
      <w:r>
        <w:rPr>
          <w:b w:val="0"/>
          <w:sz w:val="21"/>
        </w:rPr>
        <w:t>Solution: Freeze-dried (lyophilized) vaccines like MMR and Measles can be stored in frozen state (-20°C). Liquid vaccines containing adjuvants (DPT, TT, Hepatitis B) must never be frozen.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umblical cord contain at term by?</w:t>
      </w:r>
    </w:p>
    <w:p>
      <w:pPr>
        <w:spacing w:after="0" w:before="0"/>
      </w:pPr>
      <w:r>
        <w:rPr>
          <w:b w:val="0"/>
          <w:sz w:val="22"/>
        </w:rPr>
        <w:t>(a) One arteries two vein</w:t>
      </w:r>
    </w:p>
    <w:p>
      <w:pPr>
        <w:spacing w:after="0" w:before="0"/>
      </w:pPr>
      <w:r>
        <w:rPr>
          <w:b w:val="0"/>
          <w:sz w:val="22"/>
        </w:rPr>
        <w:t>(b) Two arteries two vein</w:t>
      </w:r>
    </w:p>
    <w:p>
      <w:pPr>
        <w:spacing w:after="0" w:before="0"/>
      </w:pPr>
      <w:r>
        <w:rPr>
          <w:b w:val="0"/>
          <w:sz w:val="22"/>
        </w:rPr>
        <w:t>(c) Two arteries one vein</w:t>
      </w:r>
    </w:p>
    <w:p>
      <w:pPr>
        <w:spacing w:after="0" w:before="0"/>
      </w:pPr>
      <w:r>
        <w:rPr>
          <w:b w:val="0"/>
          <w:sz w:val="22"/>
        </w:rPr>
        <w:t>(d) One arteries one vein</w:t>
      </w:r>
    </w:p>
    <w:p>
      <w:pPr>
        <w:spacing w:after="0" w:before="40"/>
      </w:pPr>
      <w:r>
        <w:rPr>
          <w:b/>
          <w:sz w:val="22"/>
        </w:rPr>
        <w:t>Answer: c</w:t>
      </w:r>
    </w:p>
    <w:p>
      <w:pPr>
        <w:spacing w:after="0" w:before="0"/>
      </w:pPr>
      <w:r>
        <w:rPr>
          <w:b w:val="0"/>
          <w:sz w:val="21"/>
        </w:rPr>
        <w:t>Solution: The umbilical cord at term contains two arteries and one vein (2A-1V).</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disease is not included in national vector bornedisease control program?</w:t>
      </w:r>
    </w:p>
    <w:p>
      <w:pPr>
        <w:spacing w:after="0" w:before="0"/>
      </w:pPr>
      <w:r>
        <w:rPr>
          <w:b w:val="0"/>
          <w:sz w:val="22"/>
        </w:rPr>
        <w:t>(a) Malaria</w:t>
      </w:r>
    </w:p>
    <w:p>
      <w:pPr>
        <w:spacing w:after="0" w:before="0"/>
      </w:pPr>
      <w:r>
        <w:rPr>
          <w:b w:val="0"/>
          <w:sz w:val="22"/>
        </w:rPr>
        <w:t>(b) Plague</w:t>
      </w:r>
    </w:p>
    <w:p>
      <w:pPr>
        <w:spacing w:after="0" w:before="0"/>
      </w:pPr>
      <w:r>
        <w:rPr>
          <w:b w:val="0"/>
          <w:sz w:val="22"/>
        </w:rPr>
        <w:t>(c) Dengue</w:t>
      </w:r>
    </w:p>
    <w:p>
      <w:pPr>
        <w:spacing w:after="0" w:before="0"/>
      </w:pPr>
      <w:r>
        <w:rPr>
          <w:b w:val="0"/>
          <w:sz w:val="22"/>
        </w:rPr>
        <w:t>(d) Chikungunya</w:t>
      </w:r>
    </w:p>
    <w:p>
      <w:pPr>
        <w:spacing w:after="0" w:before="40"/>
      </w:pPr>
      <w:r>
        <w:rPr>
          <w:b/>
          <w:sz w:val="22"/>
        </w:rPr>
        <w:t>Answer: b</w:t>
      </w:r>
    </w:p>
    <w:p>
      <w:pPr>
        <w:spacing w:after="0" w:before="0"/>
      </w:pPr>
      <w:r>
        <w:rPr>
          <w:b w:val="0"/>
          <w:sz w:val="21"/>
        </w:rPr>
        <w:t>Solution: Plague is not included in the national vector-borne disease control program (option A). The national vector-borne disease control programs typically focus on diseases that are transmitted to humans through vectors such as mosquitoes, ticks, and flies. These programs aim to prevent, control, and manage diseases such as malaria, dengue fever, chikungunya, and other mosquito-borne diseases. Plague, on the other hand, is primarily transmitted through fleas that infest rodents, and it is not commonly included in the scope of national vector-borne disease control programs. Plague control strategies usually involve specific interventions targeted at rodent and flea control to prevent outbreaks and minimize the risk of transmission to humans.</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