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statements regarding COVID-19 infection is INCORRECT?</w:t>
      </w:r>
    </w:p>
    <w:p>
      <w:pPr>
        <w:spacing w:after="0" w:before="0"/>
      </w:pPr>
      <w:r>
        <w:rPr>
          <w:b w:val="0"/>
          <w:sz w:val="22"/>
        </w:rPr>
        <w:t>(a) Severe COVID-19 infection can lead to ARDS</w:t>
      </w:r>
    </w:p>
    <w:p>
      <w:pPr>
        <w:spacing w:after="0" w:before="0"/>
      </w:pPr>
      <w:r>
        <w:rPr>
          <w:b w:val="0"/>
          <w:sz w:val="22"/>
        </w:rPr>
        <w:t>(b) Common symptoms include fever, dry cough, and dyspnea</w:t>
      </w:r>
    </w:p>
    <w:p>
      <w:pPr>
        <w:spacing w:after="0" w:before="0"/>
      </w:pPr>
      <w:r>
        <w:rPr>
          <w:b w:val="0"/>
          <w:sz w:val="22"/>
        </w:rPr>
        <w:t>(c) Transmitted via respiratory droplets and fomites</w:t>
      </w:r>
    </w:p>
    <w:p>
      <w:pPr>
        <w:spacing w:after="0" w:before="0"/>
      </w:pPr>
      <w:r>
        <w:rPr>
          <w:b w:val="0"/>
          <w:sz w:val="22"/>
        </w:rPr>
        <w:t>(d) COVID-19 belongs to the HIV/Hepatitis retrovirus family</w:t>
      </w:r>
    </w:p>
    <w:p>
      <w:pPr>
        <w:spacing w:after="0" w:before="40"/>
      </w:pPr>
      <w:r>
        <w:rPr>
          <w:b/>
          <w:sz w:val="22"/>
        </w:rPr>
        <w:t>Answer: d</w:t>
      </w:r>
    </w:p>
    <w:p>
      <w:pPr>
        <w:spacing w:after="0" w:before="0"/>
      </w:pPr>
      <w:r>
        <w:rPr>
          <w:b w:val="0"/>
          <w:sz w:val="21"/>
        </w:rPr>
        <w:t>Solution: COVID-19 is caused by SARS-CoV-2, an enveloped single-stranded RNA Coronavirus, NOT a retrovirus or Hepatitis virus.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undergoing blood transfusion and suddenly patient shows complaints of transfusion reaction. What will be the priority nursing intervention?</w:t>
      </w:r>
    </w:p>
    <w:p>
      <w:pPr>
        <w:spacing w:after="0" w:before="0"/>
      </w:pPr>
      <w:r>
        <w:rPr>
          <w:b w:val="0"/>
          <w:sz w:val="22"/>
        </w:rPr>
        <w:t>(a) Stop the infusion and remove cannula</w:t>
      </w:r>
    </w:p>
    <w:p>
      <w:pPr>
        <w:spacing w:after="0" w:before="0"/>
      </w:pPr>
      <w:r>
        <w:rPr>
          <w:b w:val="0"/>
          <w:sz w:val="22"/>
        </w:rPr>
        <w:t>(b) Complete the transfusion and discard the bag</w:t>
      </w:r>
    </w:p>
    <w:p>
      <w:pPr>
        <w:spacing w:after="0" w:before="0"/>
      </w:pPr>
      <w:r>
        <w:rPr>
          <w:b w:val="0"/>
          <w:sz w:val="22"/>
        </w:rPr>
        <w:t>(c) Complete the transfusion and administer injection avil</w:t>
      </w:r>
    </w:p>
    <w:p>
      <w:pPr>
        <w:spacing w:after="0" w:before="0"/>
      </w:pPr>
      <w:r>
        <w:rPr>
          <w:b w:val="0"/>
          <w:sz w:val="22"/>
        </w:rPr>
        <w:t>(d) Stop the infusion</w:t>
      </w:r>
    </w:p>
    <w:p>
      <w:pPr>
        <w:spacing w:after="0" w:before="40"/>
      </w:pPr>
      <w:r>
        <w:rPr>
          <w:b/>
          <w:sz w:val="22"/>
        </w:rPr>
        <w:t>Answer: d</w:t>
      </w:r>
    </w:p>
    <w:p>
      <w:pPr>
        <w:spacing w:after="0" w:before="0"/>
      </w:pPr>
      <w:r>
        <w:rPr>
          <w:b w:val="0"/>
          <w:sz w:val="21"/>
        </w:rPr>
        <w:t>Solution: On suspecting a transfusion reaction, the FIRST action is to stop the transfusion immediately (keep the line with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site cannot be used for IM injection to prevent injury in sciatic nerves?</w:t>
      </w:r>
    </w:p>
    <w:p>
      <w:pPr>
        <w:spacing w:after="0" w:before="0"/>
      </w:pPr>
      <w:r>
        <w:rPr>
          <w:b w:val="0"/>
          <w:sz w:val="22"/>
        </w:rPr>
        <w:t>(a) Dorsogluteal</w:t>
      </w:r>
    </w:p>
    <w:p>
      <w:pPr>
        <w:spacing w:after="0" w:before="0"/>
      </w:pPr>
      <w:r>
        <w:rPr>
          <w:b w:val="0"/>
          <w:sz w:val="22"/>
        </w:rPr>
        <w:t>(b) Ventrogluteal</w:t>
      </w:r>
    </w:p>
    <w:p>
      <w:pPr>
        <w:spacing w:after="0" w:before="0"/>
      </w:pPr>
      <w:r>
        <w:rPr>
          <w:b w:val="0"/>
          <w:sz w:val="22"/>
        </w:rPr>
        <w:t>(c) Deltoid</w:t>
      </w:r>
    </w:p>
    <w:p>
      <w:pPr>
        <w:spacing w:after="0" w:before="0"/>
      </w:pPr>
      <w:r>
        <w:rPr>
          <w:b w:val="0"/>
          <w:sz w:val="22"/>
        </w:rPr>
        <w:t>(d) Vastaslatralis</w:t>
      </w:r>
    </w:p>
    <w:p>
      <w:pPr>
        <w:spacing w:after="0" w:before="40"/>
      </w:pPr>
      <w:r>
        <w:rPr>
          <w:b/>
          <w:sz w:val="22"/>
        </w:rPr>
        <w:t>Answer: a</w:t>
      </w:r>
    </w:p>
    <w:p>
      <w:pPr>
        <w:spacing w:after="0" w:before="0"/>
      </w:pPr>
      <w:r>
        <w:rPr>
          <w:b w:val="0"/>
          <w:sz w:val="21"/>
        </w:rPr>
        <w:t>Solution: The dorsogluteal site is no longer recommended as the preferred site for IM injections due to the risk of injury to the sciatic nerve. The sciatic nerve is the largest nerve in the body and runs through the buttock area, close to the dorsogluteal site where injections are commonly given. If the injection is not administered correctly, the needle can injure or irritate the sciatic nerve, leading to nerve damage. The ventrogluteal (most Enjections 2 FONT preferable), deltoid and vastus lateralis sites are now considered safer and more appropriate sites for IM injection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SSPE complication occurs from which disease?</w:t>
      </w:r>
    </w:p>
    <w:p>
      <w:pPr>
        <w:spacing w:after="0" w:before="0"/>
      </w:pPr>
      <w:r>
        <w:rPr>
          <w:b w:val="0"/>
          <w:sz w:val="22"/>
        </w:rPr>
        <w:t>(a) Measles</w:t>
      </w:r>
    </w:p>
    <w:p>
      <w:pPr>
        <w:spacing w:after="0" w:before="0"/>
      </w:pPr>
      <w:r>
        <w:rPr>
          <w:b w:val="0"/>
          <w:sz w:val="22"/>
        </w:rPr>
        <w:t>(b) Chickenpox</w:t>
      </w:r>
    </w:p>
    <w:p>
      <w:pPr>
        <w:spacing w:after="0" w:before="0"/>
      </w:pPr>
      <w:r>
        <w:rPr>
          <w:b w:val="0"/>
          <w:sz w:val="22"/>
        </w:rPr>
        <w:t>(c) Rubella</w:t>
      </w:r>
    </w:p>
    <w:p>
      <w:pPr>
        <w:spacing w:after="0" w:before="0"/>
      </w:pPr>
      <w:r>
        <w:rPr>
          <w:b w:val="0"/>
          <w:sz w:val="22"/>
        </w:rPr>
        <w:t>(d) Dengue</w:t>
      </w:r>
    </w:p>
    <w:p>
      <w:pPr>
        <w:spacing w:after="0" w:before="40"/>
      </w:pPr>
      <w:r>
        <w:rPr>
          <w:b/>
          <w:sz w:val="22"/>
        </w:rPr>
        <w:t>Answer: a</w:t>
      </w:r>
    </w:p>
    <w:p>
      <w:pPr>
        <w:spacing w:after="0" w:before="0"/>
      </w:pPr>
      <w:r>
        <w:rPr>
          <w:b w:val="0"/>
          <w:sz w:val="21"/>
        </w:rPr>
        <w:t>Solution: SSPE (Subacute Sclerosing Panencephalitis) is a complication that occurs from the measles virus (option A). SSPE is a rare but serious progressive neurological disorder that affects individuals who have had measles infection, usually occurring several years after the initial infection. It is characterized by inflammation and degeneration of the brain. The exact cause of SSPE is not fully understood, but it is believed to result from persistent measles virus infection in the brain. Vaccination against measles is crucial for preventing SSPE and other complications associated with measles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laboratory value requires IMMEDIATE notification in a client with chronic kidney disease?</w:t>
      </w:r>
    </w:p>
    <w:p>
      <w:pPr>
        <w:spacing w:after="0" w:before="0"/>
      </w:pPr>
      <w:r>
        <w:rPr>
          <w:b w:val="0"/>
          <w:sz w:val="22"/>
        </w:rPr>
        <w:t>(a) Hemoglobin 10.2 g/dL</w:t>
      </w:r>
    </w:p>
    <w:p>
      <w:pPr>
        <w:spacing w:after="0" w:before="0"/>
      </w:pPr>
      <w:r>
        <w:rPr>
          <w:b w:val="0"/>
          <w:sz w:val="22"/>
        </w:rPr>
        <w:t>(b) Serum potassium 6.8 mEq/L</w:t>
      </w:r>
    </w:p>
    <w:p>
      <w:pPr>
        <w:spacing w:after="0" w:before="0"/>
      </w:pPr>
      <w:r>
        <w:rPr>
          <w:b w:val="0"/>
          <w:sz w:val="22"/>
        </w:rPr>
        <w:t>(c) Serum creatinine 2.4 mg/dL</w:t>
      </w:r>
    </w:p>
    <w:p>
      <w:pPr>
        <w:spacing w:after="0" w:before="0"/>
      </w:pPr>
      <w:r>
        <w:rPr>
          <w:b w:val="0"/>
          <w:sz w:val="22"/>
        </w:rPr>
        <w:t>(d) Blood urea nitrogen 42 mg/dL</w:t>
      </w:r>
    </w:p>
    <w:p>
      <w:pPr>
        <w:spacing w:after="0" w:before="40"/>
      </w:pPr>
      <w:r>
        <w:rPr>
          <w:b/>
          <w:sz w:val="22"/>
        </w:rPr>
        <w:t>Answer: b</w:t>
      </w:r>
    </w:p>
    <w:p>
      <w:pPr>
        <w:spacing w:after="0" w:before="0"/>
      </w:pPr>
      <w:r>
        <w:rPr>
          <w:b w:val="0"/>
          <w:sz w:val="21"/>
        </w:rPr>
        <w:t>Solution: Hyperkalemia (&gt;5.5 mEq/L) can precipitate lethal cardiac dysrhythmias; potassium 6.8 mEq/L is a critical value that must be reported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mother has gestational diabetes mellitus (GDM). Which congenital anomaly is most commonly associated with GDM?</w:t>
      </w:r>
    </w:p>
    <w:p>
      <w:pPr>
        <w:spacing w:after="0" w:before="0"/>
      </w:pPr>
      <w:r>
        <w:rPr>
          <w:b w:val="0"/>
          <w:sz w:val="22"/>
        </w:rPr>
        <w:t>(a) Neural tube defects</w:t>
      </w:r>
    </w:p>
    <w:p>
      <w:pPr>
        <w:spacing w:after="0" w:before="0"/>
      </w:pPr>
      <w:r>
        <w:rPr>
          <w:b w:val="0"/>
          <w:sz w:val="22"/>
        </w:rPr>
        <w:t>(b) Rectal Atresia</w:t>
      </w:r>
    </w:p>
    <w:p>
      <w:pPr>
        <w:spacing w:after="0" w:before="0"/>
      </w:pPr>
      <w:r>
        <w:rPr>
          <w:b w:val="0"/>
          <w:sz w:val="22"/>
        </w:rPr>
        <w:t>(c) Cardiovascular anomalies.</w:t>
      </w:r>
    </w:p>
    <w:p>
      <w:pPr>
        <w:spacing w:after="0" w:before="0"/>
      </w:pPr>
      <w:r>
        <w:rPr>
          <w:b w:val="0"/>
          <w:sz w:val="22"/>
        </w:rPr>
        <w:t>(d) Renal anomalies</w:t>
      </w:r>
    </w:p>
    <w:p>
      <w:pPr>
        <w:spacing w:after="0" w:before="40"/>
      </w:pPr>
      <w:r>
        <w:rPr>
          <w:b/>
          <w:sz w:val="22"/>
        </w:rPr>
        <w:t>Answer: a</w:t>
      </w:r>
    </w:p>
    <w:p>
      <w:pPr>
        <w:spacing w:after="0" w:before="0"/>
      </w:pPr>
      <w:r>
        <w:rPr>
          <w:b w:val="0"/>
          <w:sz w:val="21"/>
        </w:rPr>
        <w:t>Solution: Cardiovascular anomalies are the most commonly seen congenital anomalies in babies born to mothers with GDM. The risk of cardiovascular anomalies is increased two- to three-fold in babies of mothers with GDM. Other congenital anomalies associated with GDM include renal anomalies, rectal atresia, and neural tube defects. The exact mechanisms of how GDM leads to these anomalies are not fully understood, but it is believed that hyperglycemia during fetal development may interfere with normal organogenesis. It is important for mothers with GDM to receive proper prenatal care and for their babies to receive appropriate screening for congenital anomalies.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 most leading cause of under 5 children infection in worldwide?</w:t>
      </w:r>
    </w:p>
    <w:p>
      <w:pPr>
        <w:spacing w:after="0" w:before="0"/>
      </w:pPr>
      <w:r>
        <w:rPr>
          <w:b w:val="0"/>
          <w:sz w:val="22"/>
        </w:rPr>
        <w:t>(a) Diarrhoea</w:t>
      </w:r>
    </w:p>
    <w:p>
      <w:pPr>
        <w:spacing w:after="0" w:before="0"/>
      </w:pPr>
      <w:r>
        <w:rPr>
          <w:b w:val="0"/>
          <w:sz w:val="22"/>
        </w:rPr>
        <w:t>(b) Pneumonia</w:t>
      </w:r>
    </w:p>
    <w:p>
      <w:pPr>
        <w:spacing w:after="0" w:before="0"/>
      </w:pPr>
      <w:r>
        <w:rPr>
          <w:b w:val="0"/>
          <w:sz w:val="22"/>
        </w:rPr>
        <w:t>(c) Birthasphyxia</w:t>
      </w:r>
    </w:p>
    <w:p>
      <w:pPr>
        <w:spacing w:after="0" w:before="0"/>
      </w:pPr>
      <w:r>
        <w:rPr>
          <w:b w:val="0"/>
          <w:sz w:val="22"/>
        </w:rPr>
        <w:t>(d) URTI</w:t>
      </w:r>
    </w:p>
    <w:p>
      <w:pPr>
        <w:spacing w:after="0" w:before="40"/>
      </w:pPr>
      <w:r>
        <w:rPr>
          <w:b/>
          <w:sz w:val="22"/>
        </w:rPr>
        <w:t>Answer: b</w:t>
      </w:r>
    </w:p>
    <w:p>
      <w:pPr>
        <w:spacing w:after="0" w:before="0"/>
      </w:pPr>
      <w:r>
        <w:rPr>
          <w:b w:val="0"/>
          <w:sz w:val="21"/>
        </w:rPr>
        <w:t>Solution: Pneumonia is the leading infectious cause of death in children under 5 years worldwide, accounting for about 14% of all deaths in this age group.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status asthmaticus is receiving nebulized albuterol. Which finding indicates the treatment is effective?</w:t>
      </w:r>
    </w:p>
    <w:p>
      <w:pPr>
        <w:spacing w:after="0" w:before="0"/>
      </w:pPr>
      <w:r>
        <w:rPr>
          <w:b w:val="0"/>
          <w:sz w:val="22"/>
        </w:rPr>
        <w:t>(a) Client reports chest tightness</w:t>
      </w:r>
    </w:p>
    <w:p>
      <w:pPr>
        <w:spacing w:after="0" w:before="0"/>
      </w:pPr>
      <w:r>
        <w:rPr>
          <w:b w:val="0"/>
          <w:sz w:val="22"/>
        </w:rPr>
        <w:t>(b) Wheezing becomes louder</w:t>
      </w:r>
    </w:p>
    <w:p>
      <w:pPr>
        <w:spacing w:after="0" w:before="0"/>
      </w:pPr>
      <w:r>
        <w:rPr>
          <w:b w:val="0"/>
          <w:sz w:val="22"/>
        </w:rPr>
        <w:t>(c) Respiratory rate decreases from 32 to 20 breaths/min</w:t>
      </w:r>
    </w:p>
    <w:p>
      <w:pPr>
        <w:spacing w:after="0" w:before="0"/>
      </w:pPr>
      <w:r>
        <w:rPr>
          <w:b w:val="0"/>
          <w:sz w:val="22"/>
        </w:rPr>
        <w:t>(d) SpO2 falls to 88%</w:t>
      </w:r>
    </w:p>
    <w:p>
      <w:pPr>
        <w:spacing w:after="0" w:before="40"/>
      </w:pPr>
      <w:r>
        <w:rPr>
          <w:b/>
          <w:sz w:val="22"/>
        </w:rPr>
        <w:t>Answer: c</w:t>
      </w:r>
    </w:p>
    <w:p>
      <w:pPr>
        <w:spacing w:after="0" w:before="0"/>
      </w:pPr>
      <w:r>
        <w:rPr>
          <w:b w:val="0"/>
          <w:sz w:val="21"/>
        </w:rPr>
        <w:t>Solution: A falling respiratory rate with improving air entry indicates bronchodilation. Louder wheezing may actually signal improved air movement, but the clearest sign of improvement is a normalizing respiratory rate and oxygenation.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had a needle stick injury with a hepatitis B infected needle, what is priority nursing action?</w:t>
      </w:r>
    </w:p>
    <w:p>
      <w:pPr>
        <w:spacing w:after="0" w:before="0"/>
      </w:pPr>
      <w:r>
        <w:rPr>
          <w:b w:val="0"/>
          <w:sz w:val="22"/>
        </w:rPr>
        <w:t>(a) Get a doctor appointment</w:t>
      </w:r>
    </w:p>
    <w:p>
      <w:pPr>
        <w:spacing w:after="0" w:before="0"/>
      </w:pPr>
      <w:r>
        <w:rPr>
          <w:b w:val="0"/>
          <w:sz w:val="22"/>
        </w:rPr>
        <w:t>(b) Wash puncture site with soap and water</w:t>
      </w:r>
    </w:p>
    <w:p>
      <w:pPr>
        <w:spacing w:after="0" w:before="0"/>
      </w:pPr>
      <w:r>
        <w:rPr>
          <w:b w:val="0"/>
          <w:sz w:val="22"/>
        </w:rPr>
        <w:t>(c) Start PEP treatment immediately</w:t>
      </w:r>
    </w:p>
    <w:p>
      <w:pPr>
        <w:spacing w:after="0" w:before="0"/>
      </w:pPr>
      <w:r>
        <w:rPr>
          <w:b w:val="0"/>
          <w:sz w:val="22"/>
        </w:rPr>
        <w:t>(d) Collect needle for laboratory check</w:t>
      </w:r>
    </w:p>
    <w:p>
      <w:pPr>
        <w:spacing w:after="0" w:before="40"/>
      </w:pPr>
      <w:r>
        <w:rPr>
          <w:b/>
          <w:sz w:val="22"/>
        </w:rPr>
        <w:t>Answer: b</w:t>
      </w:r>
    </w:p>
    <w:p>
      <w:pPr>
        <w:spacing w:after="0" w:before="0"/>
      </w:pPr>
      <w:r>
        <w:rPr>
          <w:b w:val="0"/>
          <w:sz w:val="21"/>
        </w:rPr>
        <w:t>Solution: After a hepatitis B needle-stick injury, the priority action is to wash the puncture site with soap and water, then report and start PEP.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Change the gown</w:t>
      </w:r>
    </w:p>
    <w:p>
      <w:pPr>
        <w:spacing w:after="0" w:before="0"/>
      </w:pPr>
      <w:r>
        <w:rPr>
          <w:b w:val="0"/>
          <w:sz w:val="22"/>
        </w:rPr>
        <w:t>(b) Checking the sponge count &amp; instruments counts before suturing.</w:t>
      </w:r>
    </w:p>
    <w:p>
      <w:pPr>
        <w:spacing w:after="0" w:before="0"/>
      </w:pPr>
      <w:r>
        <w:rPr>
          <w:b w:val="0"/>
          <w:sz w:val="22"/>
        </w:rPr>
        <w:t>(c) Disinfection of OT</w:t>
      </w:r>
    </w:p>
    <w:p>
      <w:pPr>
        <w:spacing w:after="0" w:before="0"/>
      </w:pPr>
      <w:r>
        <w:rPr>
          <w:b w:val="0"/>
          <w:sz w:val="22"/>
        </w:rPr>
        <w:t>(d) Clean the instruments</w:t>
      </w:r>
    </w:p>
    <w:p>
      <w:pPr>
        <w:spacing w:after="0" w:before="40"/>
      </w:pPr>
      <w:r>
        <w:rPr>
          <w:b/>
          <w:sz w:val="22"/>
        </w:rPr>
        <w:t>Answer: b</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Disinfection</w:t>
      </w:r>
    </w:p>
    <w:p>
      <w:pPr>
        <w:spacing w:after="0" w:before="0"/>
      </w:pPr>
      <w:r>
        <w:rPr>
          <w:b w:val="0"/>
          <w:sz w:val="22"/>
        </w:rPr>
        <w:t>(b) Mopping</w:t>
      </w:r>
    </w:p>
    <w:p>
      <w:pPr>
        <w:spacing w:after="0" w:before="0"/>
      </w:pPr>
      <w:r>
        <w:rPr>
          <w:b w:val="0"/>
          <w:sz w:val="22"/>
        </w:rPr>
        <w:t>(c) Sterilization</w:t>
      </w:r>
    </w:p>
    <w:p>
      <w:pPr>
        <w:spacing w:after="0" w:before="0"/>
      </w:pPr>
      <w:r>
        <w:rPr>
          <w:b w:val="0"/>
          <w:sz w:val="22"/>
        </w:rPr>
        <w:t>(d) Scrubbing</w:t>
      </w:r>
    </w:p>
    <w:p>
      <w:pPr>
        <w:spacing w:after="0" w:before="40"/>
      </w:pPr>
      <w:r>
        <w:rPr>
          <w:b/>
          <w:sz w:val="22"/>
        </w:rPr>
        <w:t>Answer: c</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current name of Aurangabad in Maharashtra? Important scheme (4K)</w:t>
      </w:r>
    </w:p>
    <w:p>
      <w:pPr>
        <w:spacing w:after="0" w:before="0"/>
      </w:pPr>
      <w:r>
        <w:rPr>
          <w:b w:val="0"/>
          <w:sz w:val="22"/>
        </w:rPr>
        <w:t>(a) Sambhaji Nagar</w:t>
      </w:r>
    </w:p>
    <w:p>
      <w:pPr>
        <w:spacing w:after="0" w:before="0"/>
      </w:pPr>
      <w:r>
        <w:rPr>
          <w:b w:val="0"/>
          <w:sz w:val="22"/>
        </w:rPr>
        <w:t>(b) Dharashiv</w:t>
      </w:r>
    </w:p>
    <w:p>
      <w:pPr>
        <w:spacing w:after="0" w:before="0"/>
      </w:pPr>
      <w:r>
        <w:rPr>
          <w:b w:val="0"/>
          <w:sz w:val="22"/>
        </w:rPr>
        <w:t>(c) Mumbai</w:t>
      </w:r>
    </w:p>
    <w:p>
      <w:pPr>
        <w:spacing w:after="0" w:before="0"/>
      </w:pPr>
      <w:r>
        <w:rPr>
          <w:b w:val="0"/>
          <w:sz w:val="22"/>
        </w:rPr>
        <w:t>(d) Osmanabad</w:t>
      </w:r>
    </w:p>
    <w:p>
      <w:pPr>
        <w:spacing w:after="0" w:before="40"/>
      </w:pPr>
      <w:r>
        <w:rPr>
          <w:b/>
          <w:sz w:val="22"/>
        </w:rPr>
        <w:t>Answer: a</w:t>
      </w:r>
    </w:p>
    <w:p>
      <w:pPr>
        <w:spacing w:after="0" w:before="0"/>
      </w:pPr>
      <w:r>
        <w:rPr>
          <w:b w:val="0"/>
          <w:sz w:val="21"/>
        </w:rPr>
        <w:t>Solution: The current name of Aurangabad in Maharashtra is option A, Sambhaji Nagar. Sambhaji Nagar is the new name given to the city of Aurangabad in Maharashtra. The name change was made to honor Sambhaji, the son of the Maratha Empire's founder, Chhatrapati Shivaji Maharaj. Aurangabad was originally named after Mughal emperor Aurangzeb, and the decision to rename the city was part of an effort to recognize and celebrate Maratha history and culture. The name change reflects the cultural and historical significance of Sambhaji and symbolizes the local pride and heritage of Maharashtra.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drug of choice for eclampsia is:</w:t>
      </w:r>
    </w:p>
    <w:p>
      <w:pPr>
        <w:spacing w:after="0" w:before="0"/>
      </w:pPr>
      <w:r>
        <w:rPr>
          <w:b w:val="0"/>
          <w:sz w:val="22"/>
        </w:rPr>
        <w:t>(a) Phenytoin</w:t>
      </w:r>
    </w:p>
    <w:p>
      <w:pPr>
        <w:spacing w:after="0" w:before="0"/>
      </w:pPr>
      <w:r>
        <w:rPr>
          <w:b w:val="0"/>
          <w:sz w:val="22"/>
        </w:rPr>
        <w:t>(b) Diazepam</w:t>
      </w:r>
    </w:p>
    <w:p>
      <w:pPr>
        <w:spacing w:after="0" w:before="0"/>
      </w:pPr>
      <w:r>
        <w:rPr>
          <w:b w:val="0"/>
          <w:sz w:val="22"/>
        </w:rPr>
        <w:t>(c) Nifedipine</w:t>
      </w:r>
    </w:p>
    <w:p>
      <w:pPr>
        <w:spacing w:after="0" w:before="0"/>
      </w:pPr>
      <w:r>
        <w:rPr>
          <w:b w:val="0"/>
          <w:sz w:val="22"/>
        </w:rPr>
        <w:t>(d) Magnesium sulphate</w:t>
      </w:r>
    </w:p>
    <w:p>
      <w:pPr>
        <w:spacing w:after="0" w:before="40"/>
      </w:pPr>
      <w:r>
        <w:rPr>
          <w:b/>
          <w:sz w:val="22"/>
        </w:rPr>
        <w:t>Answer: d</w:t>
      </w:r>
    </w:p>
    <w:p>
      <w:pPr>
        <w:spacing w:after="0" w:before="0"/>
      </w:pPr>
      <w:r>
        <w:rPr>
          <w:b w:val="0"/>
          <w:sz w:val="21"/>
        </w:rPr>
        <w:t>Solution: Magnesium sulphate is the drug of choice to control and prevent eclamptic convulsions.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Term 'Gossypiboma' means?</w:t>
      </w:r>
    </w:p>
    <w:p>
      <w:pPr>
        <w:spacing w:after="0" w:before="0"/>
      </w:pPr>
      <w:r>
        <w:rPr>
          <w:b w:val="0"/>
          <w:sz w:val="22"/>
        </w:rPr>
        <w:t>(a) During surgery Foreign material left inside the body</w:t>
      </w:r>
    </w:p>
    <w:p>
      <w:pPr>
        <w:spacing w:after="0" w:before="0"/>
      </w:pPr>
      <w:r>
        <w:rPr>
          <w:b w:val="0"/>
          <w:sz w:val="22"/>
        </w:rPr>
        <w:t>(b) Tumor in abdomen</w:t>
      </w:r>
    </w:p>
    <w:p>
      <w:pPr>
        <w:spacing w:after="0" w:before="0"/>
      </w:pPr>
      <w:r>
        <w:rPr>
          <w:b w:val="0"/>
          <w:sz w:val="22"/>
        </w:rPr>
        <w:t>(c) Tumor in head</w:t>
      </w:r>
    </w:p>
    <w:p>
      <w:pPr>
        <w:spacing w:after="0" w:before="0"/>
      </w:pPr>
      <w:r>
        <w:rPr>
          <w:b w:val="0"/>
          <w:sz w:val="22"/>
        </w:rPr>
        <w:t>(d) During surgery accidently body organ damage inside the body</w:t>
      </w:r>
    </w:p>
    <w:p>
      <w:pPr>
        <w:spacing w:after="0" w:before="40"/>
      </w:pPr>
      <w:r>
        <w:rPr>
          <w:b/>
          <w:sz w:val="22"/>
        </w:rPr>
        <w:t>Answer: a</w:t>
      </w:r>
    </w:p>
    <w:p>
      <w:pPr>
        <w:spacing w:after="0" w:before="0"/>
      </w:pPr>
      <w:r>
        <w:rPr>
          <w:b w:val="0"/>
          <w:sz w:val="21"/>
        </w:rPr>
        <w:t>Solution: Gossypiboma is a retained surgical sponge or swab accidentally left inside the body during surgery.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fractured femur suddenly develops dyspnea, chest pain and confusion 48 hours after injury. Which complication should the nurse suspect FIRST?</w:t>
      </w:r>
    </w:p>
    <w:p>
      <w:pPr>
        <w:spacing w:after="0" w:before="0"/>
      </w:pPr>
      <w:r>
        <w:rPr>
          <w:b w:val="0"/>
          <w:sz w:val="22"/>
        </w:rPr>
        <w:t>(a) Pneumothorax</w:t>
      </w:r>
    </w:p>
    <w:p>
      <w:pPr>
        <w:spacing w:after="0" w:before="0"/>
      </w:pPr>
      <w:r>
        <w:rPr>
          <w:b w:val="0"/>
          <w:sz w:val="22"/>
        </w:rPr>
        <w:t>(b) Hypovolemic shock</w:t>
      </w:r>
    </w:p>
    <w:p>
      <w:pPr>
        <w:spacing w:after="0" w:before="0"/>
      </w:pPr>
      <w:r>
        <w:rPr>
          <w:b w:val="0"/>
          <w:sz w:val="22"/>
        </w:rPr>
        <w:t>(c) Fat embolism syndrome</w:t>
      </w:r>
    </w:p>
    <w:p>
      <w:pPr>
        <w:spacing w:after="0" w:before="0"/>
      </w:pPr>
      <w:r>
        <w:rPr>
          <w:b w:val="0"/>
          <w:sz w:val="22"/>
        </w:rPr>
        <w:t>(d) Pulmonary embolism</w:t>
      </w:r>
    </w:p>
    <w:p>
      <w:pPr>
        <w:spacing w:after="0" w:before="40"/>
      </w:pPr>
      <w:r>
        <w:rPr>
          <w:b/>
          <w:sz w:val="22"/>
        </w:rPr>
        <w:t>Answer: c</w:t>
      </w:r>
    </w:p>
    <w:p>
      <w:pPr>
        <w:spacing w:after="0" w:before="0"/>
      </w:pPr>
      <w:r>
        <w:rPr>
          <w:b w:val="0"/>
          <w:sz w:val="21"/>
        </w:rPr>
        <w:t>Solution: Fat embolism, most common after long-bone fractures, classically presents with respiratory distress and confusion 24-72 hours after injury (petechiae over the chest are a hallmark).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Convert 101.2° F into Centigrade</w:t>
      </w:r>
    </w:p>
    <w:p>
      <w:pPr>
        <w:spacing w:after="0" w:before="0"/>
      </w:pPr>
      <w:r>
        <w:rPr>
          <w:b w:val="0"/>
          <w:sz w:val="22"/>
        </w:rPr>
        <w:t>(a) 38.8°C</w:t>
      </w:r>
    </w:p>
    <w:p>
      <w:pPr>
        <w:spacing w:after="0" w:before="0"/>
      </w:pPr>
      <w:r>
        <w:rPr>
          <w:b w:val="0"/>
          <w:sz w:val="22"/>
        </w:rPr>
        <w:t>(b) 38.4°C</w:t>
      </w:r>
    </w:p>
    <w:p>
      <w:pPr>
        <w:spacing w:after="0" w:before="0"/>
      </w:pPr>
      <w:r>
        <w:rPr>
          <w:b w:val="0"/>
          <w:sz w:val="22"/>
        </w:rPr>
        <w:t>(c) 37.4°C</w:t>
      </w:r>
    </w:p>
    <w:p>
      <w:pPr>
        <w:spacing w:after="0" w:before="0"/>
      </w:pPr>
      <w:r>
        <w:rPr>
          <w:b w:val="0"/>
          <w:sz w:val="22"/>
        </w:rPr>
        <w:t>(d) 37.6°C</w:t>
      </w:r>
    </w:p>
    <w:p>
      <w:pPr>
        <w:spacing w:after="0" w:before="40"/>
      </w:pPr>
      <w:r>
        <w:rPr>
          <w:b/>
          <w:sz w:val="22"/>
        </w:rPr>
        <w:t>Answer: b</w:t>
      </w:r>
    </w:p>
    <w:p>
      <w:pPr>
        <w:spacing w:after="0" w:before="0"/>
      </w:pPr>
      <w:r>
        <w:rPr>
          <w:b w:val="0"/>
          <w:sz w:val="21"/>
        </w:rPr>
        <w:t>Solution: °C = (°F - 32) ° 5/9 Substituting 101.2 for °F in the above formula, °C = (101.2 - 32) ° 5/9 °C = 69.2 ° 5/9 Therefore, 102 degrees Fahrenheit is equivalent to approximately 38.4 degrees Celsius. Formula for converting temperature in Centigrade into degree Fahrenheit: °F= (C x 9/5) + 32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Hand rubbing time for Alcohol based hand washing is:</w:t>
      </w:r>
    </w:p>
    <w:p>
      <w:pPr>
        <w:spacing w:after="0" w:before="0"/>
      </w:pPr>
      <w:r>
        <w:rPr>
          <w:b w:val="0"/>
          <w:sz w:val="22"/>
        </w:rPr>
        <w:t>(a) 60 sec</w:t>
      </w:r>
    </w:p>
    <w:p>
      <w:pPr>
        <w:spacing w:after="0" w:before="0"/>
      </w:pPr>
      <w:r>
        <w:rPr>
          <w:b w:val="0"/>
          <w:sz w:val="22"/>
        </w:rPr>
        <w:t>(b) 10 to 15 sec</w:t>
      </w:r>
    </w:p>
    <w:p>
      <w:pPr>
        <w:spacing w:after="0" w:before="0"/>
      </w:pPr>
      <w:r>
        <w:rPr>
          <w:b w:val="0"/>
          <w:sz w:val="22"/>
        </w:rPr>
        <w:t>(c) 15 to 30 sec</w:t>
      </w:r>
    </w:p>
    <w:p>
      <w:pPr>
        <w:spacing w:after="0" w:before="0"/>
      </w:pPr>
      <w:r>
        <w:rPr>
          <w:b w:val="0"/>
          <w:sz w:val="22"/>
        </w:rPr>
        <w:t>(d) 30 to 45 sec</w:t>
      </w:r>
    </w:p>
    <w:p>
      <w:pPr>
        <w:spacing w:after="0" w:before="40"/>
      </w:pPr>
      <w:r>
        <w:rPr>
          <w:b/>
          <w:sz w:val="22"/>
        </w:rPr>
        <w:t>Answer: c</w:t>
      </w:r>
    </w:p>
    <w:p>
      <w:pPr>
        <w:spacing w:after="0" w:before="0"/>
      </w:pPr>
      <w:r>
        <w:rPr>
          <w:b w:val="0"/>
          <w:sz w:val="21"/>
        </w:rPr>
        <w:t>Solution: Alcohol-based hand rub should be applied and rubbed for 15-30 seconds (until dry).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Cut down and inject directly</w:t>
      </w:r>
    </w:p>
    <w:p>
      <w:pPr>
        <w:spacing w:after="0" w:before="0"/>
      </w:pPr>
      <w:r>
        <w:rPr>
          <w:b w:val="0"/>
          <w:sz w:val="22"/>
        </w:rPr>
        <w:t>(b) Plan for a central line</w:t>
      </w:r>
    </w:p>
    <w:p>
      <w:pPr>
        <w:spacing w:after="0" w:before="0"/>
      </w:pPr>
      <w:r>
        <w:rPr>
          <w:b w:val="0"/>
          <w:sz w:val="22"/>
        </w:rPr>
        <w:t>(c) Direct injection into an artery</w:t>
      </w:r>
    </w:p>
    <w:p>
      <w:pPr>
        <w:spacing w:after="0" w:before="0"/>
      </w:pPr>
      <w:r>
        <w:rPr>
          <w:b w:val="0"/>
          <w:sz w:val="22"/>
        </w:rPr>
        <w:t>(d) Direct injection into the intraosseous space of the tibia</w:t>
      </w:r>
    </w:p>
    <w:p>
      <w:pPr>
        <w:spacing w:after="0" w:before="40"/>
      </w:pPr>
      <w:r>
        <w:rPr>
          <w:b/>
          <w:sz w:val="22"/>
        </w:rPr>
        <w:t>Answer: d</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DOTS therapy for tuberculosis reports orange-red discoloration of urine. What should the nurse explain?</w:t>
      </w:r>
    </w:p>
    <w:p>
      <w:pPr>
        <w:spacing w:after="0" w:before="0"/>
      </w:pPr>
      <w:r>
        <w:rPr>
          <w:b w:val="0"/>
          <w:sz w:val="22"/>
        </w:rPr>
        <w:t>(a) It is a harmless side effect of rifampicin and therapy must continue</w:t>
      </w:r>
    </w:p>
    <w:p>
      <w:pPr>
        <w:spacing w:after="0" w:before="0"/>
      </w:pPr>
      <w:r>
        <w:rPr>
          <w:b w:val="0"/>
          <w:sz w:val="22"/>
        </w:rPr>
        <w:t>(b) The drug must be stopped immediately</w:t>
      </w:r>
    </w:p>
    <w:p>
      <w:pPr>
        <w:spacing w:after="0" w:before="0"/>
      </w:pPr>
      <w:r>
        <w:rPr>
          <w:b w:val="0"/>
          <w:sz w:val="22"/>
        </w:rPr>
        <w:t>(c) It indicates liver damage</w:t>
      </w:r>
    </w:p>
    <w:p>
      <w:pPr>
        <w:spacing w:after="0" w:before="0"/>
      </w:pPr>
      <w:r>
        <w:rPr>
          <w:b w:val="0"/>
          <w:sz w:val="22"/>
        </w:rPr>
        <w:t>(d) The client needs a higher dose</w:t>
      </w:r>
    </w:p>
    <w:p>
      <w:pPr>
        <w:spacing w:after="0" w:before="40"/>
      </w:pPr>
      <w:r>
        <w:rPr>
          <w:b/>
          <w:sz w:val="22"/>
        </w:rPr>
        <w:t>Answer: a</w:t>
      </w:r>
    </w:p>
    <w:p>
      <w:pPr>
        <w:spacing w:after="0" w:before="0"/>
      </w:pPr>
      <w:r>
        <w:rPr>
          <w:b w:val="0"/>
          <w:sz w:val="21"/>
        </w:rPr>
        <w:t>Solution: Rifampicin harmlessly turns urine (and tears/sweat) orange-red; the client is reassured and adherence continues. Jaundice or hepatitis symptoms, however, require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comes to the emergency department with frequent loose motions for one day, normal vital signs and no dehydration (skin pinch returns within 2 seconds). What is the priority nursing action?</w:t>
      </w:r>
    </w:p>
    <w:p>
      <w:pPr>
        <w:spacing w:after="0" w:before="0"/>
      </w:pPr>
      <w:r>
        <w:rPr>
          <w:b w:val="0"/>
          <w:sz w:val="22"/>
        </w:rPr>
        <w:t>(a) Reassure the parents that no treatment is needed</w:t>
      </w:r>
    </w:p>
    <w:p>
      <w:pPr>
        <w:spacing w:after="0" w:before="0"/>
      </w:pPr>
      <w:r>
        <w:rPr>
          <w:b w:val="0"/>
          <w:sz w:val="22"/>
        </w:rPr>
        <w:t>(b) IV fluids</w:t>
      </w:r>
    </w:p>
    <w:p>
      <w:pPr>
        <w:spacing w:after="0" w:before="0"/>
      </w:pPr>
      <w:r>
        <w:rPr>
          <w:b w:val="0"/>
          <w:sz w:val="22"/>
        </w:rPr>
        <w:t>(c) Admit to the ICU</w:t>
      </w:r>
    </w:p>
    <w:p>
      <w:pPr>
        <w:spacing w:after="0" w:before="0"/>
      </w:pPr>
      <w:r>
        <w:rPr>
          <w:b w:val="0"/>
          <w:sz w:val="22"/>
        </w:rPr>
        <w:t>(d) ORS and zinc supplementation</w:t>
      </w:r>
    </w:p>
    <w:p>
      <w:pPr>
        <w:spacing w:after="0" w:before="40"/>
      </w:pPr>
      <w:r>
        <w:rPr>
          <w:b/>
          <w:sz w:val="22"/>
        </w:rPr>
        <w:t>Answer: d</w:t>
      </w:r>
    </w:p>
    <w:p>
      <w:pPr>
        <w:spacing w:after="0" w:before="0"/>
      </w:pPr>
      <w:r>
        <w:rPr>
          <w:b w:val="0"/>
          <w:sz w:val="21"/>
        </w:rPr>
        <w:t>Solution: For acute watery diarrhoea without dehydration, ORS and zinc supplementation are given to prevent dehydration; IV fluids and admission are needed only if dehydration develops.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