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Which of the following should not be provided to the newborn in galactosemia?</w:t>
      </w:r>
    </w:p>
    <w:p>
      <w:pPr>
        <w:spacing w:after="0" w:before="0"/>
      </w:pPr>
      <w:r>
        <w:rPr>
          <w:b w:val="0"/>
          <w:sz w:val="22"/>
        </w:rPr>
        <w:t>(a) Gluten</w:t>
      </w:r>
    </w:p>
    <w:p>
      <w:pPr>
        <w:spacing w:after="0" w:before="0"/>
      </w:pPr>
      <w:r>
        <w:rPr>
          <w:b w:val="0"/>
          <w:sz w:val="22"/>
        </w:rPr>
        <w:t>(b) Glycogen</w:t>
      </w:r>
    </w:p>
    <w:p>
      <w:pPr>
        <w:spacing w:after="0" w:before="0"/>
      </w:pPr>
      <w:r>
        <w:rPr>
          <w:b w:val="0"/>
          <w:sz w:val="22"/>
        </w:rPr>
        <w:t>(c) Milk</w:t>
      </w:r>
    </w:p>
    <w:p>
      <w:pPr>
        <w:spacing w:after="0" w:before="0"/>
      </w:pPr>
      <w:r>
        <w:rPr>
          <w:b w:val="0"/>
          <w:sz w:val="22"/>
        </w:rPr>
        <w:t>(d) Starch</w:t>
      </w:r>
    </w:p>
    <w:p>
      <w:pPr>
        <w:spacing w:after="0" w:before="40"/>
      </w:pPr>
      <w:r>
        <w:rPr>
          <w:b/>
          <w:sz w:val="22"/>
        </w:rPr>
        <w:t>Answer: c</w:t>
      </w:r>
    </w:p>
    <w:p>
      <w:pPr>
        <w:spacing w:after="0" w:before="0"/>
      </w:pPr>
      <w:r>
        <w:rPr>
          <w:b w:val="0"/>
          <w:sz w:val="21"/>
        </w:rPr>
        <w:t>Solution: In galactosemia, milk (lactose) must be avoided as the infant cannot metabolise galactose.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Bone marrow aspiration in children</w:t>
      </w:r>
    </w:p>
    <w:p>
      <w:pPr>
        <w:spacing w:after="0" w:before="0"/>
      </w:pPr>
      <w:r>
        <w:rPr>
          <w:b w:val="0"/>
          <w:sz w:val="22"/>
        </w:rPr>
        <w:t>(a) Posterior Superior iliac crest</w:t>
      </w:r>
    </w:p>
    <w:p>
      <w:pPr>
        <w:spacing w:after="0" w:before="0"/>
      </w:pPr>
      <w:r>
        <w:rPr>
          <w:b w:val="0"/>
          <w:sz w:val="22"/>
        </w:rPr>
        <w:t>(b) Sternum</w:t>
      </w:r>
    </w:p>
    <w:p>
      <w:pPr>
        <w:spacing w:after="0" w:before="0"/>
      </w:pPr>
      <w:r>
        <w:rPr>
          <w:b w:val="0"/>
          <w:sz w:val="22"/>
        </w:rPr>
        <w:t>(c) Ribs</w:t>
      </w:r>
    </w:p>
    <w:p>
      <w:pPr>
        <w:spacing w:after="0" w:before="0"/>
      </w:pPr>
      <w:r>
        <w:rPr>
          <w:b w:val="0"/>
          <w:sz w:val="22"/>
        </w:rPr>
        <w:t>(d) Proximal tibia</w:t>
      </w:r>
    </w:p>
    <w:p>
      <w:pPr>
        <w:spacing w:after="0" w:before="40"/>
      </w:pPr>
      <w:r>
        <w:rPr>
          <w:b/>
          <w:sz w:val="22"/>
        </w:rPr>
        <w:t>Answer: a</w:t>
      </w:r>
    </w:p>
    <w:p>
      <w:pPr>
        <w:spacing w:after="0" w:before="0"/>
      </w:pPr>
      <w:r>
        <w:rPr>
          <w:b w:val="0"/>
          <w:sz w:val="21"/>
        </w:rPr>
        <w:t>Solution: Bone marrow aspiration in children is preferably done from the posterior superior iliac crest (sternum is avoided in children).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needle would be appropriate for administering an intramuscular injection to a 4-year-old child?</w:t>
      </w:r>
    </w:p>
    <w:p>
      <w:pPr>
        <w:spacing w:after="0" w:before="0"/>
      </w:pPr>
      <w:r>
        <w:rPr>
          <w:b w:val="0"/>
          <w:sz w:val="22"/>
        </w:rPr>
        <w:t>(a) 20 G with 1½ inches long needle</w:t>
      </w:r>
    </w:p>
    <w:p>
      <w:pPr>
        <w:spacing w:after="0" w:before="0"/>
      </w:pPr>
      <w:r>
        <w:rPr>
          <w:b w:val="0"/>
          <w:sz w:val="22"/>
        </w:rPr>
        <w:t>(b) 18 G with 1½ inches long needle</w:t>
      </w:r>
    </w:p>
    <w:p>
      <w:pPr>
        <w:spacing w:after="0" w:before="0"/>
      </w:pPr>
      <w:r>
        <w:rPr>
          <w:b w:val="0"/>
          <w:sz w:val="22"/>
        </w:rPr>
        <w:t>(c) 22 G with 1½ inches long needle</w:t>
      </w:r>
    </w:p>
    <w:p>
      <w:pPr>
        <w:spacing w:after="0" w:before="0"/>
      </w:pPr>
      <w:r>
        <w:rPr>
          <w:b w:val="0"/>
          <w:sz w:val="22"/>
        </w:rPr>
        <w:t>(d) 16 G with 5/8 inches long needle</w:t>
      </w:r>
    </w:p>
    <w:p>
      <w:pPr>
        <w:spacing w:after="0" w:before="40"/>
      </w:pPr>
      <w:r>
        <w:rPr>
          <w:b/>
          <w:sz w:val="22"/>
        </w:rPr>
        <w:t>Answer: c</w:t>
      </w:r>
    </w:p>
    <w:p>
      <w:pPr>
        <w:spacing w:after="0" w:before="0"/>
      </w:pPr>
      <w:r>
        <w:rPr>
          <w:b w:val="0"/>
          <w:sz w:val="21"/>
        </w:rPr>
        <w:t>Solution: For a young child, a 22-25 G needle about 1-1¼ inches long is used for IM injection, preferably into the vastus lateralis.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chemical formula for water?</w:t>
      </w:r>
    </w:p>
    <w:p>
      <w:pPr>
        <w:spacing w:after="0" w:before="0"/>
      </w:pPr>
      <w:r>
        <w:rPr>
          <w:b w:val="0"/>
          <w:sz w:val="22"/>
        </w:rPr>
        <w:t>(a) H2O</w:t>
      </w:r>
    </w:p>
    <w:p>
      <w:pPr>
        <w:spacing w:after="0" w:before="0"/>
      </w:pPr>
      <w:r>
        <w:rPr>
          <w:b w:val="0"/>
          <w:sz w:val="22"/>
        </w:rPr>
        <w:t>(b) HO2</w:t>
      </w:r>
    </w:p>
    <w:p>
      <w:pPr>
        <w:spacing w:after="0" w:before="0"/>
      </w:pPr>
      <w:r>
        <w:rPr>
          <w:b w:val="0"/>
          <w:sz w:val="22"/>
        </w:rPr>
        <w:t>(c) N2O</w:t>
      </w:r>
    </w:p>
    <w:p>
      <w:pPr>
        <w:spacing w:after="0" w:before="0"/>
      </w:pPr>
      <w:r>
        <w:rPr>
          <w:b w:val="0"/>
          <w:sz w:val="22"/>
        </w:rPr>
        <w:t>(d) CO2</w:t>
      </w:r>
    </w:p>
    <w:p>
      <w:pPr>
        <w:spacing w:after="0" w:before="40"/>
      </w:pPr>
      <w:r>
        <w:rPr>
          <w:b/>
          <w:sz w:val="22"/>
        </w:rPr>
        <w:t>Answer: a</w:t>
      </w:r>
    </w:p>
    <w:p>
      <w:pPr>
        <w:spacing w:after="0" w:before="0"/>
      </w:pPr>
      <w:r>
        <w:rPr>
          <w:b w:val="0"/>
          <w:sz w:val="21"/>
        </w:rPr>
        <w:t>Solution: Water consists of two hydrogen atoms covalently bonded to one oxygen atom, represented by chemical formula H₂O.</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birth of a baby, breastfeeding should be started</w:t>
      </w:r>
    </w:p>
    <w:p>
      <w:pPr>
        <w:spacing w:after="0" w:before="0"/>
      </w:pPr>
      <w:r>
        <w:rPr>
          <w:b w:val="0"/>
          <w:sz w:val="22"/>
        </w:rPr>
        <w:t>(a) Within 1/2 hours</w:t>
      </w:r>
    </w:p>
    <w:p>
      <w:pPr>
        <w:spacing w:after="0" w:before="0"/>
      </w:pPr>
      <w:r>
        <w:rPr>
          <w:b w:val="0"/>
          <w:sz w:val="22"/>
        </w:rPr>
        <w:t>(b) After 1 week</w:t>
      </w:r>
    </w:p>
    <w:p>
      <w:pPr>
        <w:spacing w:after="0" w:before="0"/>
      </w:pPr>
      <w:r>
        <w:rPr>
          <w:b w:val="0"/>
          <w:sz w:val="22"/>
        </w:rPr>
        <w:t>(c) Within 2 hours</w:t>
      </w:r>
    </w:p>
    <w:p>
      <w:pPr>
        <w:spacing w:after="0" w:before="0"/>
      </w:pPr>
      <w:r>
        <w:rPr>
          <w:b w:val="0"/>
          <w:sz w:val="22"/>
        </w:rPr>
        <w:t>(d) On second day</w:t>
      </w:r>
    </w:p>
    <w:p>
      <w:pPr>
        <w:spacing w:after="0" w:before="40"/>
      </w:pPr>
      <w:r>
        <w:rPr>
          <w:b/>
          <w:sz w:val="22"/>
        </w:rPr>
        <w:t>Answer: a</w:t>
      </w:r>
    </w:p>
    <w:p>
      <w:pPr>
        <w:spacing w:after="0" w:before="0"/>
      </w:pPr>
      <w:r>
        <w:rPr>
          <w:b w:val="0"/>
          <w:sz w:val="21"/>
        </w:rPr>
        <w:t>Solution: Breastfeeding should be initiated within half an hour (30 minutes) of birth.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is admitted with deep partial-thickness burns over 40% of the body. What is the nurse's FIRST priority in the first 24 hours?</w:t>
      </w:r>
    </w:p>
    <w:p>
      <w:pPr>
        <w:spacing w:after="0" w:before="0"/>
      </w:pPr>
      <w:r>
        <w:rPr>
          <w:b w:val="0"/>
          <w:sz w:val="22"/>
        </w:rPr>
        <w:t>(a) Airway assessment and fluid resuscitation</w:t>
      </w:r>
    </w:p>
    <w:p>
      <w:pPr>
        <w:spacing w:after="0" w:before="0"/>
      </w:pPr>
      <w:r>
        <w:rPr>
          <w:b w:val="0"/>
          <w:sz w:val="22"/>
        </w:rPr>
        <w:t>(b) Initial burn wound debridement</w:t>
      </w:r>
    </w:p>
    <w:p>
      <w:pPr>
        <w:spacing w:after="0" w:before="0"/>
      </w:pPr>
      <w:r>
        <w:rPr>
          <w:b w:val="0"/>
          <w:sz w:val="22"/>
        </w:rPr>
        <w:t>(c) High-calorie nutritional support</w:t>
      </w:r>
    </w:p>
    <w:p>
      <w:pPr>
        <w:spacing w:after="0" w:before="0"/>
      </w:pPr>
      <w:r>
        <w:rPr>
          <w:b w:val="0"/>
          <w:sz w:val="22"/>
        </w:rPr>
        <w:t>(d) Frequent dressing changes</w:t>
      </w:r>
    </w:p>
    <w:p>
      <w:pPr>
        <w:spacing w:after="0" w:before="40"/>
      </w:pPr>
      <w:r>
        <w:rPr>
          <w:b/>
          <w:sz w:val="22"/>
        </w:rPr>
        <w:t>Answer: a</w:t>
      </w:r>
    </w:p>
    <w:p>
      <w:pPr>
        <w:spacing w:after="0" w:before="0"/>
      </w:pPr>
      <w:r>
        <w:rPr>
          <w:b w:val="0"/>
          <w:sz w:val="21"/>
        </w:rPr>
        <w:t>Solution: Inhalation injury is the greatest early threat, so the airway is assessed first; with the airway secured, aggressive fluid resuscitation is the priority in the first 24 hours to prevent hypovolemic shock.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ASHA in "A" stands for?</w:t>
      </w:r>
    </w:p>
    <w:p>
      <w:pPr>
        <w:spacing w:after="0" w:before="0"/>
      </w:pPr>
      <w:r>
        <w:rPr>
          <w:b w:val="0"/>
          <w:sz w:val="22"/>
        </w:rPr>
        <w:t>(a) Automised</w:t>
      </w:r>
    </w:p>
    <w:p>
      <w:pPr>
        <w:spacing w:after="0" w:before="0"/>
      </w:pPr>
      <w:r>
        <w:rPr>
          <w:b w:val="0"/>
          <w:sz w:val="22"/>
        </w:rPr>
        <w:t>(b) Accredited</w:t>
      </w:r>
    </w:p>
    <w:p>
      <w:pPr>
        <w:spacing w:after="0" w:before="0"/>
      </w:pPr>
      <w:r>
        <w:rPr>
          <w:b w:val="0"/>
          <w:sz w:val="22"/>
        </w:rPr>
        <w:t>(c) Accesary</w:t>
      </w:r>
    </w:p>
    <w:p>
      <w:pPr>
        <w:spacing w:after="0" w:before="0"/>
      </w:pPr>
      <w:r>
        <w:rPr>
          <w:b w:val="0"/>
          <w:sz w:val="22"/>
        </w:rPr>
        <w:t>(d) Actor</w:t>
      </w:r>
    </w:p>
    <w:p>
      <w:pPr>
        <w:spacing w:after="0" w:before="40"/>
      </w:pPr>
      <w:r>
        <w:rPr>
          <w:b/>
          <w:sz w:val="22"/>
        </w:rPr>
        <w:t>Answer: b</w:t>
      </w:r>
    </w:p>
    <w:p>
      <w:pPr>
        <w:spacing w:after="0" w:before="0"/>
      </w:pPr>
      <w:r>
        <w:rPr>
          <w:b w:val="0"/>
          <w:sz w:val="21"/>
        </w:rPr>
        <w:t>Solution: ASHA stands for Accredited Social Health Activist, a community health volunteer under the National Rural Health Mission.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among the follwing is added with ORS to Control diarrhea?</w:t>
      </w:r>
    </w:p>
    <w:p>
      <w:pPr>
        <w:spacing w:after="0" w:before="0"/>
      </w:pPr>
      <w:r>
        <w:rPr>
          <w:b w:val="0"/>
          <w:sz w:val="22"/>
        </w:rPr>
        <w:t>(a) Copper</w:t>
      </w:r>
    </w:p>
    <w:p>
      <w:pPr>
        <w:spacing w:after="0" w:before="0"/>
      </w:pPr>
      <w:r>
        <w:rPr>
          <w:b w:val="0"/>
          <w:sz w:val="22"/>
        </w:rPr>
        <w:t>(b) Calcium</w:t>
      </w:r>
    </w:p>
    <w:p>
      <w:pPr>
        <w:spacing w:after="0" w:before="0"/>
      </w:pPr>
      <w:r>
        <w:rPr>
          <w:b w:val="0"/>
          <w:sz w:val="22"/>
        </w:rPr>
        <w:t>(c) Zinc</w:t>
      </w:r>
    </w:p>
    <w:p>
      <w:pPr>
        <w:spacing w:after="0" w:before="0"/>
      </w:pPr>
      <w:r>
        <w:rPr>
          <w:b w:val="0"/>
          <w:sz w:val="22"/>
        </w:rPr>
        <w:t>(d) Potassium</w:t>
      </w:r>
    </w:p>
    <w:p>
      <w:pPr>
        <w:spacing w:after="0" w:before="40"/>
      </w:pPr>
      <w:r>
        <w:rPr>
          <w:b/>
          <w:sz w:val="22"/>
        </w:rPr>
        <w:t>Answer: c</w:t>
      </w:r>
    </w:p>
    <w:p>
      <w:pPr>
        <w:spacing w:after="0" w:before="0"/>
      </w:pPr>
      <w:r>
        <w:rPr>
          <w:b w:val="0"/>
          <w:sz w:val="21"/>
        </w:rPr>
        <w:t>Solution: Zinc is added to ORS (Oral Rehydration Solution) to help control diarrhea. ORS is a solution containing a specific balance of electrolytes and glucose that is used to treat dehydration caused by diarrhea. Zinc supplementation in ORS has been found to be effective in reducing the duration and severity of diarrhea in children. Zinc plays a crucial role in the normal functioning of the immune system and helps maintain the integrity of the intestinal mucosa. It also has direct antiviral and antibacterial effects. Therefore, adding zinc to ORS can enhance its effectiveness in managing diarrhea.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 should not be frozen and should be discarded If frozen?</w:t>
      </w:r>
    </w:p>
    <w:p>
      <w:pPr>
        <w:spacing w:after="0" w:before="0"/>
      </w:pPr>
      <w:r>
        <w:rPr>
          <w:b w:val="0"/>
          <w:sz w:val="22"/>
        </w:rPr>
        <w:t>(a) Measles</w:t>
      </w:r>
    </w:p>
    <w:p>
      <w:pPr>
        <w:spacing w:after="0" w:before="0"/>
      </w:pPr>
      <w:r>
        <w:rPr>
          <w:b w:val="0"/>
          <w:sz w:val="22"/>
        </w:rPr>
        <w:t>(b) DPT</w:t>
      </w:r>
    </w:p>
    <w:p>
      <w:pPr>
        <w:spacing w:after="0" w:before="0"/>
      </w:pPr>
      <w:r>
        <w:rPr>
          <w:b w:val="0"/>
          <w:sz w:val="22"/>
        </w:rPr>
        <w:t>(c) MMR</w:t>
      </w:r>
    </w:p>
    <w:p>
      <w:pPr>
        <w:spacing w:after="0" w:before="0"/>
      </w:pPr>
      <w:r>
        <w:rPr>
          <w:b w:val="0"/>
          <w:sz w:val="22"/>
        </w:rPr>
        <w:t>(d) OPV</w:t>
      </w:r>
    </w:p>
    <w:p>
      <w:pPr>
        <w:spacing w:after="0" w:before="40"/>
      </w:pPr>
      <w:r>
        <w:rPr>
          <w:b/>
          <w:sz w:val="22"/>
        </w:rPr>
        <w:t>Answer: b</w:t>
      </w:r>
    </w:p>
    <w:p>
      <w:pPr>
        <w:spacing w:after="0" w:before="0"/>
      </w:pPr>
      <w:r>
        <w:rPr>
          <w:b w:val="0"/>
          <w:sz w:val="21"/>
        </w:rPr>
        <w:t>Solution: The DPT (Diphtheria, Pertussis, and Tetanus) vaccine should not be frozen, and if frozen, it should be discarded. Vaccines are temperature-sensitive biological products that require proper storage and handling to maintain their efficacy and safety. Freezing the DPT vaccine can denature the antigens and render the vaccine ineffective. Therefore, it is crucial to store the DPT vaccine at the recommended temperature range between 2°C and 8°C (36°F and 46°F). Vaccines should be protected from freezing temperatures, as well as excessive heat, to ensure their potency. Proper vaccine storage and handling guidelines should be followed to maintain the integrity of vaccines and maximize their effectiveness.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Type I immediate hypersensitivity allergic reaction is mediated primarily by immunoglobulin</w:t>
      </w:r>
    </w:p>
    <w:p>
      <w:pPr>
        <w:spacing w:after="0" w:before="0"/>
      </w:pPr>
      <w:r>
        <w:rPr>
          <w:b w:val="0"/>
          <w:sz w:val="22"/>
        </w:rPr>
        <w:t>(a) IgG</w:t>
      </w:r>
    </w:p>
    <w:p>
      <w:pPr>
        <w:spacing w:after="0" w:before="0"/>
      </w:pPr>
      <w:r>
        <w:rPr>
          <w:b w:val="0"/>
          <w:sz w:val="22"/>
        </w:rPr>
        <w:t>(b) IgE</w:t>
      </w:r>
    </w:p>
    <w:p>
      <w:pPr>
        <w:spacing w:after="0" w:before="0"/>
      </w:pPr>
      <w:r>
        <w:rPr>
          <w:b w:val="0"/>
          <w:sz w:val="22"/>
        </w:rPr>
        <w:t>(c) IgM</w:t>
      </w:r>
    </w:p>
    <w:p>
      <w:pPr>
        <w:spacing w:after="0" w:before="0"/>
      </w:pPr>
      <w:r>
        <w:rPr>
          <w:b w:val="0"/>
          <w:sz w:val="22"/>
        </w:rPr>
        <w:t>(d) IgA</w:t>
      </w:r>
    </w:p>
    <w:p>
      <w:pPr>
        <w:spacing w:after="0" w:before="40"/>
      </w:pPr>
      <w:r>
        <w:rPr>
          <w:b/>
          <w:sz w:val="22"/>
        </w:rPr>
        <w:t>Answer: b</w:t>
      </w:r>
    </w:p>
    <w:p>
      <w:pPr>
        <w:spacing w:after="0" w:before="0"/>
      </w:pPr>
      <w:r>
        <w:rPr>
          <w:b w:val="0"/>
          <w:sz w:val="21"/>
        </w:rPr>
        <w:t>Solution: IgE antibodies bind to mast cells and basophils, triggering histamine release upon allergen re-exposure in Type I hypersensitivity (anaphylaxis/asthma).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prevent neonatal tetanus by TT injections during pregnancy is the?</w:t>
      </w:r>
    </w:p>
    <w:p>
      <w:pPr>
        <w:spacing w:after="0" w:before="0"/>
      </w:pPr>
      <w:r>
        <w:rPr>
          <w:b w:val="0"/>
          <w:sz w:val="22"/>
        </w:rPr>
        <w:t>(a) Primordial prevention</w:t>
      </w:r>
    </w:p>
    <w:p>
      <w:pPr>
        <w:spacing w:after="0" w:before="0"/>
      </w:pPr>
      <w:r>
        <w:rPr>
          <w:b w:val="0"/>
          <w:sz w:val="22"/>
        </w:rPr>
        <w:t>(b) Primary prevention</w:t>
      </w:r>
    </w:p>
    <w:p>
      <w:pPr>
        <w:spacing w:after="0" w:before="0"/>
      </w:pPr>
      <w:r>
        <w:rPr>
          <w:b w:val="0"/>
          <w:sz w:val="22"/>
        </w:rPr>
        <w:t>(c) Secondary prevention</w:t>
      </w:r>
    </w:p>
    <w:p>
      <w:pPr>
        <w:spacing w:after="0" w:before="0"/>
      </w:pPr>
      <w:r>
        <w:rPr>
          <w:b w:val="0"/>
          <w:sz w:val="22"/>
        </w:rPr>
        <w:t>(d) Specific protection</w:t>
      </w:r>
    </w:p>
    <w:p>
      <w:pPr>
        <w:spacing w:after="0" w:before="40"/>
      </w:pPr>
      <w:r>
        <w:rPr>
          <w:b/>
          <w:sz w:val="22"/>
        </w:rPr>
        <w:t>Answer: b</w:t>
      </w:r>
    </w:p>
    <w:p>
      <w:pPr>
        <w:spacing w:after="0" w:before="0"/>
      </w:pPr>
      <w:r>
        <w:rPr>
          <w:b w:val="0"/>
          <w:sz w:val="21"/>
        </w:rPr>
        <w:t>Solution: To prevent neonatal tetanus through tetanus toxoid (TT) injections during pregnancy is considered a primary prevention measure (option C). Neonatal tetanus is a life-threatening infection caused by the bacterium Clostridium tetani, which can enter the body through unclean practices during childbirth. Immunization of pregnant women with TT vaccines is a level of preventio primary prevention strategy aimed at protecting both the mother and the newborn. The TT vaccine stimulates the production of antibodies against the tetanus toxin, which are then passed on to the fetus, providing passive immunity during the early months of life. By preventing maternal tetanus, the risk of neonatal tetanus is significantly reduced.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Body Mass Index (BMI) is calculated using which formula?</w:t>
      </w:r>
    </w:p>
    <w:p>
      <w:pPr>
        <w:spacing w:after="0" w:before="0"/>
      </w:pPr>
      <w:r>
        <w:rPr>
          <w:b w:val="0"/>
          <w:sz w:val="22"/>
        </w:rPr>
        <w:t>(a) Weight in kg / (Height in meters)²</w:t>
      </w:r>
    </w:p>
    <w:p>
      <w:pPr>
        <w:spacing w:after="0" w:before="0"/>
      </w:pPr>
      <w:r>
        <w:rPr>
          <w:b w:val="0"/>
          <w:sz w:val="22"/>
        </w:rPr>
        <w:t>(b) Weight in kg / Height in cm²</w:t>
      </w:r>
    </w:p>
    <w:p>
      <w:pPr>
        <w:spacing w:after="0" w:before="0"/>
      </w:pPr>
      <w:r>
        <w:rPr>
          <w:b w:val="0"/>
          <w:sz w:val="22"/>
        </w:rPr>
        <w:t>(c) Weight in lbs / Height in inches</w:t>
      </w:r>
    </w:p>
    <w:p>
      <w:pPr>
        <w:spacing w:after="0" w:before="0"/>
      </w:pPr>
      <w:r>
        <w:rPr>
          <w:b w:val="0"/>
          <w:sz w:val="22"/>
        </w:rPr>
        <w:t>(d) Weight in kg / Height in meters³</w:t>
      </w:r>
    </w:p>
    <w:p>
      <w:pPr>
        <w:spacing w:after="0" w:before="40"/>
      </w:pPr>
      <w:r>
        <w:rPr>
          <w:b/>
          <w:sz w:val="22"/>
        </w:rPr>
        <w:t>Answer: a</w:t>
      </w:r>
    </w:p>
    <w:p>
      <w:pPr>
        <w:spacing w:after="0" w:before="0"/>
      </w:pPr>
      <w:r>
        <w:rPr>
          <w:b w:val="0"/>
          <w:sz w:val="21"/>
        </w:rPr>
        <w:t>Solution: BMI formula: Weight (kg) divided by Height squared in meters (m²). Normal BMI range is 18.5 – 24.9 kg/m².</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 a client receiving a blood transfusion requires the nurse to STOP the transfusion immediately?</w:t>
      </w:r>
    </w:p>
    <w:p>
      <w:pPr>
        <w:spacing w:after="0" w:before="0"/>
      </w:pPr>
      <w:r>
        <w:rPr>
          <w:b w:val="0"/>
          <w:sz w:val="22"/>
        </w:rPr>
        <w:t>(a) Heart rate increase of 6 beats/min</w:t>
      </w:r>
    </w:p>
    <w:p>
      <w:pPr>
        <w:spacing w:after="0" w:before="0"/>
      </w:pPr>
      <w:r>
        <w:rPr>
          <w:b w:val="0"/>
          <w:sz w:val="22"/>
        </w:rPr>
        <w:t>(b) Temperature 38.9°C with chills and low back pain</w:t>
      </w:r>
    </w:p>
    <w:p>
      <w:pPr>
        <w:spacing w:after="0" w:before="0"/>
      </w:pPr>
      <w:r>
        <w:rPr>
          <w:b w:val="0"/>
          <w:sz w:val="22"/>
        </w:rPr>
        <w:t>(c) Slight redness around the IV site</w:t>
      </w:r>
    </w:p>
    <w:p>
      <w:pPr>
        <w:spacing w:after="0" w:before="0"/>
      </w:pPr>
      <w:r>
        <w:rPr>
          <w:b w:val="0"/>
          <w:sz w:val="22"/>
        </w:rPr>
        <w:t>(d) Mild headache</w:t>
      </w:r>
    </w:p>
    <w:p>
      <w:pPr>
        <w:spacing w:after="0" w:before="40"/>
      </w:pPr>
      <w:r>
        <w:rPr>
          <w:b/>
          <w:sz w:val="22"/>
        </w:rPr>
        <w:t>Answer: b</w:t>
      </w:r>
    </w:p>
    <w:p>
      <w:pPr>
        <w:spacing w:after="0" w:before="0"/>
      </w:pPr>
      <w:r>
        <w:rPr>
          <w:b w:val="0"/>
          <w:sz w:val="21"/>
        </w:rPr>
        <w:t>Solution: Fever, chills and low back pain are the classic triad of a hemolytic transfusion reaction; the infusion must be stopped at once and the blood returned to the blood bank.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death, the subjective response surviving experienced by the loved ones is called:</w:t>
      </w:r>
    </w:p>
    <w:p>
      <w:pPr>
        <w:spacing w:after="0" w:before="0"/>
      </w:pPr>
      <w:r>
        <w:rPr>
          <w:b w:val="0"/>
          <w:sz w:val="22"/>
        </w:rPr>
        <w:t>(a) Compliance</w:t>
      </w:r>
    </w:p>
    <w:p>
      <w:pPr>
        <w:spacing w:after="0" w:before="0"/>
      </w:pPr>
      <w:r>
        <w:rPr>
          <w:b w:val="0"/>
          <w:sz w:val="22"/>
        </w:rPr>
        <w:t>(b) Mourning</w:t>
      </w:r>
    </w:p>
    <w:p>
      <w:pPr>
        <w:spacing w:after="0" w:before="0"/>
      </w:pPr>
      <w:r>
        <w:rPr>
          <w:b w:val="0"/>
          <w:sz w:val="22"/>
        </w:rPr>
        <w:t>(c) Bereavement</w:t>
      </w:r>
    </w:p>
    <w:p>
      <w:pPr>
        <w:spacing w:after="0" w:before="0"/>
      </w:pPr>
      <w:r>
        <w:rPr>
          <w:b w:val="0"/>
          <w:sz w:val="22"/>
        </w:rPr>
        <w:t>(d) Grief</w:t>
      </w:r>
    </w:p>
    <w:p>
      <w:pPr>
        <w:spacing w:after="0" w:before="40"/>
      </w:pPr>
      <w:r>
        <w:rPr>
          <w:b/>
          <w:sz w:val="22"/>
        </w:rPr>
        <w:t>Answer: d</w:t>
      </w:r>
    </w:p>
    <w:p>
      <w:pPr>
        <w:spacing w:after="0" w:before="0"/>
      </w:pPr>
      <w:r>
        <w:rPr>
          <w:b w:val="0"/>
          <w:sz w:val="21"/>
        </w:rPr>
        <w:t>Solution: Grief is the subjective emotional response experienced by the survivor following the death of a loved one.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did India commence COVID-19 vaccination with COVAXIN?</w:t>
      </w:r>
    </w:p>
    <w:p>
      <w:pPr>
        <w:spacing w:after="0" w:before="0"/>
      </w:pPr>
      <w:r>
        <w:rPr>
          <w:b w:val="0"/>
          <w:sz w:val="22"/>
        </w:rPr>
        <w:t>(a) 16 January 2021,</w:t>
      </w:r>
    </w:p>
    <w:p>
      <w:pPr>
        <w:spacing w:after="0" w:before="0"/>
      </w:pPr>
      <w:r>
        <w:rPr>
          <w:b w:val="0"/>
          <w:sz w:val="22"/>
        </w:rPr>
        <w:t>(b) 18 January 2021,</w:t>
      </w:r>
    </w:p>
    <w:p>
      <w:pPr>
        <w:spacing w:after="0" w:before="0"/>
      </w:pPr>
      <w:r>
        <w:rPr>
          <w:b w:val="0"/>
          <w:sz w:val="22"/>
        </w:rPr>
        <w:t>(c) 20 January 2021,</w:t>
      </w:r>
    </w:p>
    <w:p>
      <w:pPr>
        <w:spacing w:after="0" w:before="0"/>
      </w:pPr>
      <w:r>
        <w:rPr>
          <w:b w:val="0"/>
          <w:sz w:val="22"/>
        </w:rPr>
        <w:t>(d) 22 January 2021,</w:t>
      </w:r>
    </w:p>
    <w:p>
      <w:pPr>
        <w:spacing w:after="0" w:before="40"/>
      </w:pPr>
      <w:r>
        <w:rPr>
          <w:b/>
          <w:sz w:val="22"/>
        </w:rPr>
        <w:t>Answer: a</w:t>
      </w:r>
    </w:p>
    <w:p>
      <w:pPr>
        <w:spacing w:after="0" w:before="0"/>
      </w:pPr>
      <w:r>
        <w:rPr>
          <w:b w:val="0"/>
          <w:sz w:val="21"/>
        </w:rPr>
        <w:t>Solution: India commenced COVID-19 vaccination with COVAXIN on 16 January 2021 (option A). COVAXIN is an indigenous COVID-19 vaccine developed by Bharat Biotech in collaboration with the Indian Council of Medical Research (ICMR) and the National Institute of Virology (NIV). It is a whole-virion inactivated vaccine that triggers an immune response against the SARS-CoV-2 virus. The vaccination campaign in India aimed to protect individuals against COVID-19 and reduce the impact of the pandemic. The vaccine rollout followed a phased approach, prioritizing healthcare workers, frontline workers, and individuals at higher risk.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 serious adverse effect of clozapine that requires regular blood monitoring?</w:t>
      </w:r>
    </w:p>
    <w:p>
      <w:pPr>
        <w:spacing w:after="0" w:before="0"/>
      </w:pPr>
      <w:r>
        <w:rPr>
          <w:b w:val="0"/>
          <w:sz w:val="22"/>
        </w:rPr>
        <w:t>(a) Agranulocytosis</w:t>
      </w:r>
    </w:p>
    <w:p>
      <w:pPr>
        <w:spacing w:after="0" w:before="0"/>
      </w:pPr>
      <w:r>
        <w:rPr>
          <w:b w:val="0"/>
          <w:sz w:val="22"/>
        </w:rPr>
        <w:t>(b) Sedation</w:t>
      </w:r>
    </w:p>
    <w:p>
      <w:pPr>
        <w:spacing w:after="0" w:before="0"/>
      </w:pPr>
      <w:r>
        <w:rPr>
          <w:b w:val="0"/>
          <w:sz w:val="22"/>
        </w:rPr>
        <w:t>(c) Hyperglycaemia</w:t>
      </w:r>
    </w:p>
    <w:p>
      <w:pPr>
        <w:spacing w:after="0" w:before="0"/>
      </w:pPr>
      <w:r>
        <w:rPr>
          <w:b w:val="0"/>
          <w:sz w:val="22"/>
        </w:rPr>
        <w:t>(d) Weight gain</w:t>
      </w:r>
    </w:p>
    <w:p>
      <w:pPr>
        <w:spacing w:after="0" w:before="40"/>
      </w:pPr>
      <w:r>
        <w:rPr>
          <w:b/>
          <w:sz w:val="22"/>
        </w:rPr>
        <w:t>Answer: a</w:t>
      </w:r>
    </w:p>
    <w:p>
      <w:pPr>
        <w:spacing w:after="0" w:before="0"/>
      </w:pPr>
      <w:r>
        <w:rPr>
          <w:b w:val="0"/>
          <w:sz w:val="21"/>
        </w:rPr>
        <w:t>Solution: Clozapine can cause agranulocytosis (severe neutropenia), so a regular CBC is mandatory; it can also cause weight gain and sedation.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Allergy skin test done with intradermal route only because?</w:t>
      </w:r>
    </w:p>
    <w:p>
      <w:pPr>
        <w:spacing w:after="0" w:before="0"/>
      </w:pPr>
      <w:r>
        <w:rPr>
          <w:b w:val="0"/>
          <w:sz w:val="22"/>
        </w:rPr>
        <w:t>(a) Slow absorption of drug</w:t>
      </w:r>
    </w:p>
    <w:p>
      <w:pPr>
        <w:spacing w:after="0" w:before="0"/>
      </w:pPr>
      <w:r>
        <w:rPr>
          <w:b w:val="0"/>
          <w:sz w:val="22"/>
        </w:rPr>
        <w:t>(b) ID route less injury to skin</w:t>
      </w:r>
    </w:p>
    <w:p>
      <w:pPr>
        <w:spacing w:after="0" w:before="0"/>
      </w:pPr>
      <w:r>
        <w:rPr>
          <w:b w:val="0"/>
          <w:sz w:val="22"/>
        </w:rPr>
        <w:t>(c) ID route less painful</w:t>
      </w:r>
    </w:p>
    <w:p>
      <w:pPr>
        <w:spacing w:after="0" w:before="0"/>
      </w:pPr>
      <w:r>
        <w:rPr>
          <w:b w:val="0"/>
          <w:sz w:val="22"/>
        </w:rPr>
        <w:t>(d) Fast absorption of drug</w:t>
      </w:r>
    </w:p>
    <w:p>
      <w:pPr>
        <w:spacing w:after="0" w:before="40"/>
      </w:pPr>
      <w:r>
        <w:rPr>
          <w:b/>
          <w:sz w:val="22"/>
        </w:rPr>
        <w:t>Answer: a</w:t>
      </w:r>
    </w:p>
    <w:p>
      <w:pPr>
        <w:spacing w:after="0" w:before="0"/>
      </w:pPr>
      <w:r>
        <w:rPr>
          <w:b w:val="0"/>
          <w:sz w:val="21"/>
        </w:rPr>
        <w:t>Solution: The intradermal route has the slowest systemic absorption, allowing observation of local reactions without triggering rapid anaphylaxis during allergy testing.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conditions is NOT prevented or covered by the MMR vaccine?</w:t>
      </w:r>
    </w:p>
    <w:p>
      <w:pPr>
        <w:spacing w:after="0" w:before="0"/>
      </w:pPr>
      <w:r>
        <w:rPr>
          <w:b w:val="0"/>
          <w:sz w:val="22"/>
        </w:rPr>
        <w:t>(a) Rickets</w:t>
      </w:r>
    </w:p>
    <w:p>
      <w:pPr>
        <w:spacing w:after="0" w:before="0"/>
      </w:pPr>
      <w:r>
        <w:rPr>
          <w:b w:val="0"/>
          <w:sz w:val="22"/>
        </w:rPr>
        <w:t>(b) Rubella</w:t>
      </w:r>
    </w:p>
    <w:p>
      <w:pPr>
        <w:spacing w:after="0" w:before="0"/>
      </w:pPr>
      <w:r>
        <w:rPr>
          <w:b w:val="0"/>
          <w:sz w:val="22"/>
        </w:rPr>
        <w:t>(c) Measles</w:t>
      </w:r>
    </w:p>
    <w:p>
      <w:pPr>
        <w:spacing w:after="0" w:before="0"/>
      </w:pPr>
      <w:r>
        <w:rPr>
          <w:b w:val="0"/>
          <w:sz w:val="22"/>
        </w:rPr>
        <w:t>(d) Mumps</w:t>
      </w:r>
    </w:p>
    <w:p>
      <w:pPr>
        <w:spacing w:after="0" w:before="40"/>
      </w:pPr>
      <w:r>
        <w:rPr>
          <w:b/>
          <w:sz w:val="22"/>
        </w:rPr>
        <w:t>Answer: a</w:t>
      </w:r>
    </w:p>
    <w:p>
      <w:pPr>
        <w:spacing w:after="0" w:before="0"/>
      </w:pPr>
      <w:r>
        <w:rPr>
          <w:b w:val="0"/>
          <w:sz w:val="21"/>
        </w:rPr>
        <w:t>Solution: MMR vaccine protects against Measles, Mumps, and Rubella. Rickets is a nutritional bone disorder caused by Vitamin D deficiency.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From following, which is the appropriate method of holding the baby for breast-feeding?</w:t>
      </w:r>
    </w:p>
    <w:p>
      <w:pPr>
        <w:spacing w:after="0" w:before="0"/>
      </w:pPr>
      <w:r>
        <w:rPr>
          <w:b w:val="0"/>
          <w:sz w:val="22"/>
        </w:rPr>
        <w:t>(a) hold only neck</w:t>
      </w:r>
    </w:p>
    <w:p>
      <w:pPr>
        <w:spacing w:after="0" w:before="0"/>
      </w:pPr>
      <w:r>
        <w:rPr>
          <w:b w:val="0"/>
          <w:sz w:val="22"/>
        </w:rPr>
        <w:t>(b) hold baby's lower part</w:t>
      </w:r>
    </w:p>
    <w:p>
      <w:pPr>
        <w:spacing w:after="0" w:before="0"/>
      </w:pPr>
      <w:r>
        <w:rPr>
          <w:b w:val="0"/>
          <w:sz w:val="22"/>
        </w:rPr>
        <w:t>(c) hold baby in upright position</w:t>
      </w:r>
    </w:p>
    <w:p>
      <w:pPr>
        <w:spacing w:after="0" w:before="0"/>
      </w:pPr>
      <w:r>
        <w:rPr>
          <w:b w:val="0"/>
          <w:sz w:val="22"/>
        </w:rPr>
        <w:t>(d) hold baby giving support to whole body</w:t>
      </w:r>
    </w:p>
    <w:p>
      <w:pPr>
        <w:spacing w:after="0" w:before="40"/>
      </w:pPr>
      <w:r>
        <w:rPr>
          <w:b/>
          <w:sz w:val="22"/>
        </w:rPr>
        <w:t>Answer: d</w:t>
      </w:r>
    </w:p>
    <w:p>
      <w:pPr>
        <w:spacing w:after="0" w:before="0"/>
      </w:pPr>
      <w:r>
        <w:rPr>
          <w:b w:val="0"/>
          <w:sz w:val="21"/>
        </w:rPr>
        <w:t>Solution: The mother should hold the baby giving support to the whole body during breastfeeding.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contraindication of the Covishield vaccine?</w:t>
      </w:r>
    </w:p>
    <w:p>
      <w:pPr>
        <w:spacing w:after="0" w:before="0"/>
      </w:pPr>
      <w:r>
        <w:rPr>
          <w:b w:val="0"/>
          <w:sz w:val="22"/>
        </w:rPr>
        <w:t>(a) Foreign body allergy</w:t>
      </w:r>
    </w:p>
    <w:p>
      <w:pPr>
        <w:spacing w:after="0" w:before="0"/>
      </w:pPr>
      <w:r>
        <w:rPr>
          <w:b w:val="0"/>
          <w:sz w:val="22"/>
        </w:rPr>
        <w:t>(b) Pollen allergy</w:t>
      </w:r>
    </w:p>
    <w:p>
      <w:pPr>
        <w:spacing w:after="0" w:before="0"/>
      </w:pPr>
      <w:r>
        <w:rPr>
          <w:b w:val="0"/>
          <w:sz w:val="22"/>
        </w:rPr>
        <w:t>(c) Allergy of 1st dose of</w:t>
      </w:r>
    </w:p>
    <w:p>
      <w:pPr>
        <w:spacing w:after="0" w:before="0"/>
      </w:pPr>
      <w:r>
        <w:rPr>
          <w:b w:val="0"/>
          <w:sz w:val="22"/>
        </w:rPr>
        <w:t>(d) HTN</w:t>
      </w:r>
    </w:p>
    <w:p>
      <w:pPr>
        <w:spacing w:after="0" w:before="40"/>
      </w:pPr>
      <w:r>
        <w:rPr>
          <w:b/>
          <w:sz w:val="22"/>
        </w:rPr>
        <w:t>Answer: c</w:t>
      </w:r>
    </w:p>
    <w:p>
      <w:pPr>
        <w:spacing w:after="0" w:before="0"/>
      </w:pPr>
      <w:r>
        <w:rPr>
          <w:b w:val="0"/>
          <w:sz w:val="21"/>
        </w:rPr>
        <w:t>Solution: The contraindication of the Covishield vaccine is allergy to the first dose (option a). Covishield is a COVID-19 vaccine developed by AstraZeneca in collaboration with the University of Oxford. It is based on the adenovirus vector technology and provides protection against the SARS-CoV-2 virus. However, like any vaccine, Covishield has contraindications and precautions. Allergy to the first dose of Covishield is a contraindication, indicating that individuals who have experienced a severe allergic reaction or anaphylaxis to the initial dose should not receive subsequent doses of the vaccine. It is important to follow the specific guidelines and recommendations provided by health authorities regarding vaccine contraindications.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