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child vomiting along with a sodium level of 150 mEq/L. What is the expected finding?</w:t>
      </w:r>
    </w:p>
    <w:p>
      <w:pPr>
        <w:spacing w:after="20" w:before="0"/>
      </w:pPr>
      <w:r>
        <w:rPr>
          <w:b w:val="0"/>
          <w:i w:val="0"/>
          <w:sz w:val="21"/>
        </w:rPr>
        <w:t>(a)  Hypervolemic hypernatremia</w:t>
      </w:r>
    </w:p>
    <w:p>
      <w:pPr>
        <w:spacing w:after="20" w:before="0"/>
      </w:pPr>
      <w:r>
        <w:rPr>
          <w:b w:val="0"/>
          <w:i w:val="0"/>
          <w:sz w:val="21"/>
        </w:rPr>
        <w:t>(b)  Hypervolemic hyponatremia</w:t>
      </w:r>
    </w:p>
    <w:p>
      <w:pPr>
        <w:spacing w:after="20" w:before="0"/>
      </w:pPr>
      <w:r>
        <w:rPr>
          <w:b w:val="0"/>
          <w:i w:val="0"/>
          <w:sz w:val="21"/>
        </w:rPr>
        <w:t>(c)  Euvolemic hyponatremia</w:t>
      </w:r>
    </w:p>
    <w:p>
      <w:pPr>
        <w:spacing w:after="20" w:before="0"/>
      </w:pPr>
      <w:r>
        <w:rPr>
          <w:b w:val="0"/>
          <w:i w:val="0"/>
          <w:sz w:val="21"/>
        </w:rPr>
        <w:t>(d)  Hypovolemic hypernatremia</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Vomiting causes loss of water and chloride-rich fluid, so the child is BOTH volume-depleted and hypernatremic — this is HYPOVOLEMIC HYPERNATREMIA. Serum Na⁺ 150 mEq/L (&gt;145) confirms hypernatremia, and the history of vomiting points to water loss. Hypervolemic hypernatremia would follow excess sodium intake; euvolemic hyponatremia is seen with SIADH or psychogenic polydipsia.</w:t>
      </w:r>
    </w:p>
    <w:p>
      <w:pPr>
        <w:spacing w:after="20" w:before="0"/>
      </w:pPr>
      <w:r>
        <w:rPr>
          <w:b/>
        </w:rPr>
        <w:t xml:space="preserve">🔍 Key Clues: </w:t>
      </w:r>
      <w:r>
        <w:t>Vomiting (water loss) + Na⁺ 150 mEq/L (high) → hypovolemic hypernatremia.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Hypervolemic hypernatremia needs sodium gain (e.g., hypertonic saline, salt poisoning) with volume expansion — not vomiting. | b — Hyponatremia cannot coexist with Na⁺ 150 mEq/L — this option contradicts the stem. | c — Euvolemic hyponatremia has low sodium with normal volume status (SIADH) — sodium here is high.</w:t>
      </w:r>
    </w:p>
    <w:p>
      <w:pPr>
        <w:spacing w:after="20" w:before="0"/>
      </w:pPr>
      <w:r>
        <w:rPr>
          <w:b/>
          <w:color w:val="B45F06"/>
        </w:rPr>
        <w:t xml:space="preserve">⚠️ Exam Trap: </w:t>
      </w:r>
      <w:r>
        <w:t>Read the sodium FIRST (150 = high), then decide the volume status from the history — vomiting = loss, so hypovolemic.</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Vomiting/diarrhea with high Na⁺ = hypovolemic hypernatremia — the most common pattern in sick children.</w:t>
      </w:r>
    </w:p>
    <w:p>
      <w:pPr>
        <w:spacing w:after="0" w:before="0"/>
      </w:pPr>
      <w:r>
        <w:rPr>
          <w:b/>
          <w:i w:val="0"/>
          <w:sz w:val="21"/>
        </w:rPr>
        <w:t>Positive Marks: 1    Negative Marks: 0.25</w:t>
      </w:r>
    </w:p>
    <w:p>
      <w:pPr>
        <w:spacing w:before="280" w:after="40"/>
      </w:pPr>
      <w:r>
        <w:rPr>
          <w:b/>
        </w:rPr>
        <w:t xml:space="preserve">Question: </w:t>
      </w:r>
      <w:r>
        <w:t>A child undergoes cardiac catheterization, post-operatively which parameter will be monitored?</w:t>
      </w:r>
    </w:p>
    <w:p>
      <w:pPr>
        <w:spacing w:after="20" w:before="0"/>
      </w:pPr>
      <w:r>
        <w:rPr>
          <w:b w:val="0"/>
          <w:i w:val="0"/>
          <w:sz w:val="21"/>
        </w:rPr>
        <w:t>(a)  Vital monitor every 15 min</w:t>
      </w:r>
    </w:p>
    <w:p>
      <w:pPr>
        <w:spacing w:after="20" w:before="0"/>
      </w:pPr>
      <w:r>
        <w:rPr>
          <w:b w:val="0"/>
          <w:i w:val="0"/>
          <w:sz w:val="21"/>
        </w:rPr>
        <w:t>(b)  Check for BP every 1 hour</w:t>
      </w:r>
    </w:p>
    <w:p>
      <w:pPr>
        <w:spacing w:after="20" w:before="0"/>
      </w:pPr>
      <w:r>
        <w:rPr>
          <w:b w:val="0"/>
          <w:i w:val="0"/>
          <w:sz w:val="21"/>
        </w:rPr>
        <w:t>(c)  Check pulse oximetry 30 sec</w:t>
      </w:r>
    </w:p>
    <w:p>
      <w:pPr>
        <w:spacing w:after="20" w:before="0"/>
      </w:pPr>
      <w:r>
        <w:rPr>
          <w:b w:val="0"/>
          <w:i w:val="0"/>
          <w:sz w:val="21"/>
        </w:rPr>
        <w:t>(d)  Check the site for bleeding after 4 hours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After cardiac catheterization the priority is close observation — vital signs, distal pulses, color and warmth of the limb, and the catheter site are monitored every 15 minutes for the first hour, then less frequently. Checking BP only hourly or waiting 4 hours before site inspection misses early complications (bleeding, hematoma, arterial occlusion).</w:t>
      </w:r>
    </w:p>
    <w:p>
      <w:pPr>
        <w:spacing w:after="20" w:before="0"/>
      </w:pPr>
      <w:r>
        <w:rPr>
          <w:b/>
        </w:rPr>
        <w:t xml:space="preserve">🔍 Key Clues: </w:t>
      </w:r>
      <w:r>
        <w:t>Post-catheterization care = frequent monitoring of vitals and the puncture site every 15 minutes initially.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BP every 1 hour is too infrequent for the critical first hour. | c — Pulse oximetry is one parameter, not the full 'vital monitor' expected after catheterization. | d — Delaying site inspection for 4 hours risks missing early bleeding/hematoma.</w:t>
      </w:r>
    </w:p>
    <w:p>
      <w:pPr>
        <w:spacing w:after="20" w:before="0"/>
      </w:pPr>
      <w:r>
        <w:rPr>
          <w:b/>
          <w:color w:val="B45F06"/>
        </w:rPr>
        <w:t xml:space="preserve">⚠️ Exam Trap: </w:t>
      </w:r>
      <w:r>
        <w:t>'Frequency' questions: the first hour after catheterization demands monitoring every 15 minutes, not hourly.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Cardiac catheterization → observe vitals and distal pulses every 15 min × 1st hour.</w:t>
      </w:r>
    </w:p>
    <w:p>
      <w:pPr>
        <w:spacing w:after="0" w:before="0"/>
      </w:pPr>
      <w:r>
        <w:rPr>
          <w:b/>
          <w:i w:val="0"/>
          <w:sz w:val="21"/>
        </w:rPr>
        <w:t>Positive Marks: 1    Negative Marks: 0.25</w:t>
      </w:r>
    </w:p>
    <w:p>
      <w:pPr>
        <w:spacing w:before="280" w:after="40"/>
      </w:pPr>
      <w:r>
        <w:rPr>
          <w:b/>
        </w:rPr>
        <w:t xml:space="preserve">Question: </w:t>
      </w:r>
      <w:r>
        <w:t>A 60-year-old patient has been diagnosed with ARDS. He has been kept on a ventilator with the following settings — tidal volume 350 ml, FiO2 75%, resp 10, peak pressure 35 cm H2O. PaO2 = 83. What is the severity of an ARDS patient suffering from?</w:t>
      </w:r>
    </w:p>
    <w:p>
      <w:pPr>
        <w:spacing w:after="20" w:before="0"/>
      </w:pPr>
      <w:r>
        <w:rPr>
          <w:b w:val="0"/>
          <w:i w:val="0"/>
          <w:sz w:val="21"/>
        </w:rPr>
        <w:t>(a)  Mild</w:t>
      </w:r>
    </w:p>
    <w:p>
      <w:pPr>
        <w:spacing w:after="20" w:before="0"/>
      </w:pPr>
      <w:r>
        <w:rPr>
          <w:b w:val="0"/>
          <w:i w:val="0"/>
          <w:sz w:val="21"/>
        </w:rPr>
        <w:t>(b)  Moderate</w:t>
      </w:r>
    </w:p>
    <w:p>
      <w:pPr>
        <w:spacing w:after="20" w:before="0"/>
      </w:pPr>
      <w:r>
        <w:rPr>
          <w:b w:val="0"/>
          <w:i w:val="0"/>
          <w:sz w:val="21"/>
        </w:rPr>
        <w:t>(c)  Severe</w:t>
      </w:r>
    </w:p>
    <w:p>
      <w:pPr>
        <w:spacing w:after="20" w:before="0"/>
      </w:pPr>
      <w:r>
        <w:rPr>
          <w:b w:val="0"/>
          <w:i w:val="0"/>
          <w:sz w:val="21"/>
        </w:rPr>
        <w:t>(d)  None of them</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ARDS severity is graded by the PaO2/FiO2 (P/F) ratio on the Berlin criteria: Mild = 200–300, Moderate = 101–200, Severe ≤ 100. Here P/F = 83 ÷ 0.75 = 110 → MODERATE ARDS. Mild ARDS has P/F 200–300 and severe is ≤100 with PEEP ≥5; a P/F of 110 therefore falls in the moderate band.</w:t>
      </w:r>
    </w:p>
    <w:p>
      <w:pPr>
        <w:spacing w:after="20" w:before="0"/>
      </w:pPr>
      <w:r>
        <w:rPr>
          <w:b/>
        </w:rPr>
        <w:t xml:space="preserve">🔍 Key Clues: </w:t>
      </w:r>
      <w:r>
        <w:t>P/F ratio = 83/0.75 = 110 → Berlin moderate ARDS (101–200).</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Mild requires P/F 200–300 — 110 is far below that band. | c — Severe needs P/F ≤ 100 with PEEP ≥5; 110 is just above the severe cutoff. | d — The ratio clearly places the patient within a defined Berlin category.</w:t>
      </w:r>
    </w:p>
    <w:p>
      <w:pPr>
        <w:spacing w:after="20" w:before="0"/>
      </w:pPr>
      <w:r>
        <w:rPr>
          <w:b/>
          <w:color w:val="B45F06"/>
        </w:rPr>
        <w:t xml:space="preserve">⚠️ Exam Trap: </w:t>
      </w:r>
      <w:r>
        <w:t>Convert FiO2 (75%) to a decimal (0.75) BEFORE dividing — students who forget get a 10-fold error.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Berlin ARDS: mild 200–300, moderate 101–200, severe ≤100 (P/F ratio).</w:t>
      </w:r>
    </w:p>
    <w:p>
      <w:pPr>
        <w:spacing w:after="0" w:before="0"/>
      </w:pPr>
      <w:r>
        <w:rPr>
          <w:b/>
          <w:i w:val="0"/>
          <w:sz w:val="21"/>
        </w:rPr>
        <w:t>Positive Marks: 1    Negative Marks: 0.25</w:t>
      </w:r>
    </w:p>
    <w:p>
      <w:pPr>
        <w:spacing w:before="280" w:after="40"/>
      </w:pPr>
      <w:r>
        <w:rPr>
          <w:b/>
        </w:rPr>
        <w:t xml:space="preserve">Question: </w:t>
      </w:r>
      <w:r>
        <w:t>A fetus is having gestational age of 15 weeks. With the help of Doppler, how early can we detect the heart rate of the fetus?</w:t>
      </w:r>
    </w:p>
    <w:p>
      <w:pPr>
        <w:spacing w:after="20" w:before="0"/>
      </w:pPr>
      <w:r>
        <w:rPr>
          <w:b w:val="0"/>
          <w:i w:val="0"/>
          <w:sz w:val="21"/>
        </w:rPr>
        <w:t>(a)  6-8 weeks</w:t>
      </w:r>
    </w:p>
    <w:p>
      <w:pPr>
        <w:spacing w:after="20" w:before="0"/>
      </w:pPr>
      <w:r>
        <w:rPr>
          <w:b w:val="0"/>
          <w:i w:val="0"/>
          <w:sz w:val="21"/>
        </w:rPr>
        <w:t>(b)  10-12 weeks</w:t>
      </w:r>
    </w:p>
    <w:p>
      <w:pPr>
        <w:spacing w:after="20" w:before="0"/>
      </w:pPr>
      <w:r>
        <w:rPr>
          <w:b w:val="0"/>
          <w:i w:val="0"/>
          <w:sz w:val="21"/>
        </w:rPr>
        <w:t>(c)  16-20 weeks</w:t>
      </w:r>
    </w:p>
    <w:p>
      <w:pPr>
        <w:spacing w:after="20" w:before="0"/>
      </w:pPr>
      <w:r>
        <w:rPr>
          <w:b w:val="0"/>
          <w:i w:val="0"/>
          <w:sz w:val="21"/>
        </w:rPr>
        <w:t>(d)  20-22 weeks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Fetal heart rate can be detected by hand-held Doppler ultrasound from 10–12 weeks of gestation. Transvaginal ultrasound visualises cardiac activity even earlier (6 weeks), and the fetoscope (non-amplified) picks up fetal heart sounds only at 16–20 weeks — the classic trap here. Since the question specifies 'with the help of Doppler', 10–12 weeks is correct.</w:t>
      </w:r>
    </w:p>
    <w:p>
      <w:pPr>
        <w:spacing w:after="20" w:before="0"/>
      </w:pPr>
      <w:r>
        <w:rPr>
          <w:b/>
        </w:rPr>
        <w:t xml:space="preserve">🔍 Key Clues: </w:t>
      </w:r>
      <w:r>
        <w:t>Doppler → FHR audible at 10–12 weeks; fetoscope → 16–20 weeks.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6–8 weeks is detectable by transvaginal ultrasound, not by hand-held Doppler. | c — 16–20 weeks is when the fetoscope (Leopold's / Pinard) picks up heart sounds. | d — 20–22 weeks is far too late — FHR is heard well before this.</w:t>
      </w:r>
    </w:p>
    <w:p>
      <w:pPr>
        <w:spacing w:after="20" w:before="0"/>
      </w:pPr>
      <w:r>
        <w:rPr>
          <w:b/>
          <w:color w:val="B45F06"/>
        </w:rPr>
        <w:t xml:space="preserve">⚠️ Exam Trap: </w:t>
      </w:r>
      <w:r>
        <w:t>Doppler (10–12 wks) vs fetoscope (16–20 wks) — the instrument in the stem decides the answer.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Doppler auscultates FHR at 10–12 weeks; fetoscope at 16–20 weeks.</w:t>
      </w:r>
    </w:p>
    <w:p>
      <w:pPr>
        <w:spacing w:after="0" w:before="0"/>
      </w:pPr>
      <w:r>
        <w:rPr>
          <w:b/>
          <w:i w:val="0"/>
          <w:sz w:val="21"/>
        </w:rPr>
        <w:t>Positive Marks: 1    Negative Marks: 0.25</w:t>
      </w:r>
    </w:p>
    <w:p>
      <w:pPr>
        <w:spacing w:before="280" w:after="40"/>
      </w:pPr>
      <w:r>
        <w:rPr>
          <w:b/>
        </w:rPr>
        <w:t xml:space="preserve">Question: </w:t>
      </w:r>
      <w:r>
        <w:t>The given sign will be seen at?</w:t>
      </w:r>
    </w:p>
    <w:p>
      <w:pPr>
        <w:spacing w:after="40" w:before="0"/>
      </w:pPr>
      <w:r>
        <w:rPr>
          <w:b w:val="0"/>
          <w:i/>
          <w:color w:val="B45F06"/>
          <w:sz w:val="20"/>
        </w:rPr>
        <w:t>[ IMAGE: N10-Q05 — image in the Image Bank, to be inserted ]</w:t>
      </w:r>
    </w:p>
    <w:p>
      <w:pPr>
        <w:spacing w:after="20" w:before="0"/>
      </w:pPr>
      <w:r>
        <w:rPr>
          <w:b w:val="0"/>
          <w:i w:val="0"/>
          <w:sz w:val="21"/>
        </w:rPr>
        <w:t>(a)  10-12 weeks</w:t>
      </w:r>
    </w:p>
    <w:p>
      <w:pPr>
        <w:spacing w:after="20" w:before="0"/>
      </w:pPr>
      <w:r>
        <w:rPr>
          <w:b w:val="0"/>
          <w:i w:val="0"/>
          <w:sz w:val="21"/>
        </w:rPr>
        <w:t>(b)  6-8 weeks</w:t>
      </w:r>
    </w:p>
    <w:p>
      <w:pPr>
        <w:spacing w:after="20" w:before="0"/>
      </w:pPr>
      <w:r>
        <w:rPr>
          <w:b w:val="0"/>
          <w:i w:val="0"/>
          <w:sz w:val="21"/>
        </w:rPr>
        <w:t>(c)  12-14 weeks</w:t>
      </w:r>
    </w:p>
    <w:p>
      <w:pPr>
        <w:spacing w:after="20" w:before="0"/>
      </w:pPr>
      <w:r>
        <w:rPr>
          <w:b w:val="0"/>
          <w:i w:val="0"/>
          <w:sz w:val="21"/>
        </w:rPr>
        <w:t>(d)  16-18 weeks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image shows bimanual pelvic examination findings of HEGAR'S SIGN — softening of the lower uterine segment (isthmus) felt as compressibility between the examining fingers. Hegar's sign appears early in pregnancy, at 6–8 weeks. This is one of the presumptive signs of pregnancy assessed on bimanual examination.</w:t>
      </w:r>
    </w:p>
    <w:p>
      <w:pPr>
        <w:spacing w:after="20" w:before="0"/>
      </w:pPr>
      <w:r>
        <w:rPr>
          <w:b/>
        </w:rPr>
        <w:t xml:space="preserve">🔍 Key Clues: </w:t>
      </w:r>
      <w:r>
        <w:t>Bimanual exam with compressible lower uterine segment = Hegar's sign at 6–8 weeks.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10–12 weeks is when Doppler FHR is heard — not the timing of Hegar's sign. | c — 12–14 weeks suits no major presumptive sign on bimanual examination. | d — 16–18 weeks corresponds to quickening/fetoscope findings, not Hegar's sign.</w:t>
      </w:r>
    </w:p>
    <w:p>
      <w:pPr>
        <w:spacing w:after="20" w:before="0"/>
      </w:pPr>
      <w:r>
        <w:rPr>
          <w:b/>
          <w:color w:val="B45F06"/>
        </w:rPr>
        <w:t xml:space="preserve">⚠️ Exam Trap: </w:t>
      </w:r>
      <w:r>
        <w:t>Hegar's (6–8 wks) is early; Goodell's (cervical softening) and Chadwick's (violet cervix) are other early presumptive signs.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Hegar's sign = softening of the lower uterine segment, seen at 6–8 weeks.</w:t>
      </w:r>
    </w:p>
    <w:p>
      <w:pPr>
        <w:spacing w:after="0" w:before="0"/>
      </w:pPr>
      <w:r>
        <w:rPr>
          <w:b/>
          <w:i w:val="0"/>
          <w:sz w:val="21"/>
        </w:rPr>
        <w:t>Positive Marks: 1    Negative Marks: 0.25</w:t>
      </w:r>
    </w:p>
    <w:p>
      <w:pPr>
        <w:spacing w:before="280" w:after="40"/>
      </w:pPr>
      <w:r>
        <w:rPr>
          <w:b/>
        </w:rPr>
        <w:t xml:space="preserve">Question: </w:t>
      </w:r>
      <w:r>
        <w:t>An addict states that - "I drink only when I am stressed, otherwise I don't drink." Which defence mechanism is displayed by the patient?</w:t>
      </w:r>
    </w:p>
    <w:p>
      <w:pPr>
        <w:spacing w:after="20" w:before="0"/>
      </w:pPr>
      <w:r>
        <w:rPr>
          <w:b w:val="0"/>
          <w:i w:val="0"/>
          <w:sz w:val="21"/>
        </w:rPr>
        <w:t>(a)  Denial</w:t>
      </w:r>
    </w:p>
    <w:p>
      <w:pPr>
        <w:spacing w:after="20" w:before="0"/>
      </w:pPr>
      <w:r>
        <w:rPr>
          <w:b w:val="0"/>
          <w:i w:val="0"/>
          <w:sz w:val="21"/>
        </w:rPr>
        <w:t>(b)  Compensation</w:t>
      </w:r>
    </w:p>
    <w:p>
      <w:pPr>
        <w:spacing w:after="20" w:before="0"/>
      </w:pPr>
      <w:r>
        <w:rPr>
          <w:b w:val="0"/>
          <w:i w:val="0"/>
          <w:sz w:val="21"/>
        </w:rPr>
        <w:t>(c)  Undoing</w:t>
      </w:r>
    </w:p>
    <w:p>
      <w:pPr>
        <w:spacing w:after="20" w:before="0"/>
      </w:pPr>
      <w:r>
        <w:rPr>
          <w:b w:val="0"/>
          <w:i w:val="0"/>
          <w:sz w:val="21"/>
        </w:rPr>
        <w:t>(d)  Suppression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patient minimises the problem by justifying drinking only when 'stressed' — this is DENIAL, the unconscious refusal to accept reality (here, the severity of the addiction). In denial the person rationalises or minimises the harmful behaviour. Compensation is over-achieving to hide a weakness; undoing is a ritual that negates an act; suppression is a conscious decision to postpone dealing with a thought.</w:t>
      </w:r>
    </w:p>
    <w:p>
      <w:pPr>
        <w:spacing w:after="20" w:before="0"/>
      </w:pPr>
      <w:r>
        <w:rPr>
          <w:b/>
        </w:rPr>
        <w:t xml:space="preserve">🔍 Key Clues: </w:t>
      </w:r>
      <w:r>
        <w:t>Minimising/justifying the addiction ('I only drink when stressed') = denial of the problem's severity.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Compensation = making up for a perceived deficit by excelling elsewhere. | c — Undoing = performing a ritual to undo a previous thought/act. | d — Suppression = consciously putting a thought aside — the patient here is not consciously postponing.</w:t>
      </w:r>
    </w:p>
    <w:p>
      <w:pPr>
        <w:spacing w:after="20" w:before="0"/>
      </w:pPr>
      <w:r>
        <w:rPr>
          <w:b/>
          <w:color w:val="B45F06"/>
        </w:rPr>
        <w:t xml:space="preserve">⚠️ Exam Trap: </w:t>
      </w:r>
      <w:r>
        <w:t>The closest textbook description is rationalisation, but with rationalisation absent, 'denial' (minimising) is the intended ego-defence.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 drink only when stressed' = denial/minimisation in addiction counselling.</w:t>
      </w:r>
    </w:p>
    <w:p>
      <w:pPr>
        <w:spacing w:after="0" w:before="0"/>
      </w:pPr>
      <w:r>
        <w:rPr>
          <w:b/>
          <w:i w:val="0"/>
          <w:sz w:val="21"/>
        </w:rPr>
        <w:t>Positive Marks: 1    Negative Marks: 0.25</w:t>
      </w:r>
    </w:p>
    <w:p>
      <w:pPr>
        <w:spacing w:before="280" w:after="40"/>
      </w:pPr>
      <w:r>
        <w:rPr>
          <w:b/>
        </w:rPr>
        <w:t xml:space="preserve">Question: </w:t>
      </w:r>
      <w:r>
        <w:t>A 15-year-old patient has been brought to the clinic with a complaint of cyclic lower abdominal pain and primary amenorrhea. Physical examination shows an imperforate hymen with bulge at the perineum. What will be the likely diagnosis?</w:t>
      </w:r>
    </w:p>
    <w:p>
      <w:pPr>
        <w:spacing w:after="20" w:before="0"/>
      </w:pPr>
      <w:r>
        <w:rPr>
          <w:b w:val="0"/>
          <w:i w:val="0"/>
          <w:sz w:val="21"/>
        </w:rPr>
        <w:t>(a)  Cryptomenorrhea</w:t>
      </w:r>
    </w:p>
    <w:p>
      <w:pPr>
        <w:spacing w:after="20" w:before="0"/>
      </w:pPr>
      <w:r>
        <w:rPr>
          <w:b w:val="0"/>
          <w:i w:val="0"/>
          <w:sz w:val="21"/>
        </w:rPr>
        <w:t>(b)  Menorrhagia</w:t>
      </w:r>
    </w:p>
    <w:p>
      <w:pPr>
        <w:spacing w:after="20" w:before="0"/>
      </w:pPr>
      <w:r>
        <w:rPr>
          <w:b w:val="0"/>
          <w:i w:val="0"/>
          <w:sz w:val="21"/>
        </w:rPr>
        <w:t>(c)  Metrorrhagia</w:t>
      </w:r>
    </w:p>
    <w:p>
      <w:pPr>
        <w:spacing w:after="20" w:before="0"/>
      </w:pPr>
      <w:r>
        <w:rPr>
          <w:b w:val="0"/>
          <w:i w:val="0"/>
          <w:sz w:val="21"/>
        </w:rPr>
        <w:t>(d)  Oligomenorrhea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Imperforate hymen with cyclic lower abdominal pain, primary amenorrhea and a bulging membrane at the perineum is CRYPTOMENORRHEA — retained menstrual blood behind an obstructing hymen (hematocolpos). The bulging bluish hymen confirms the diagnosis. Menorrhagia (heavy cyclical bleeding), metrorrhagia (bleeding between periods) and oligomenorrhea (scanty/infrequent periods) all imply visible menstrual flow, which this girl has never had.</w:t>
      </w:r>
    </w:p>
    <w:p>
      <w:pPr>
        <w:spacing w:after="20" w:before="0"/>
      </w:pPr>
      <w:r>
        <w:rPr>
          <w:b/>
        </w:rPr>
        <w:t xml:space="preserve">🔍 Key Clues: </w:t>
      </w:r>
      <w:r>
        <w:t>Primary amenorrhea + cyclic pain + bulging imperforate hymen → cryptomenorrhea (hematocolpos).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Menorrhagia = excessive cyclical bleeding — impossible with an obstructed outflow. | c — Metrorrhagia = intermenstrual bleeding — no periods occur here. | d — Oligomenorrhea = infrequent scanty periods — the hymen is completely obstructing flow.</w:t>
      </w:r>
    </w:p>
    <w:p>
      <w:pPr>
        <w:spacing w:after="20" w:before="0"/>
      </w:pPr>
      <w:r>
        <w:rPr>
          <w:b/>
          <w:color w:val="B45F06"/>
        </w:rPr>
        <w:t xml:space="preserve">⚠️ Exam Trap: </w:t>
      </w:r>
      <w:r>
        <w:t>Cryptomenorrhea is the 'hidden menses' behind an imperforate hymen — classic adolescent emergency presentation.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Imperforate hymen + cyclic pain + primary amenorrhea = cryptomenorrhea.</w:t>
      </w:r>
    </w:p>
    <w:p>
      <w:pPr>
        <w:spacing w:after="0" w:before="0"/>
      </w:pPr>
      <w:r>
        <w:rPr>
          <w:b/>
          <w:i w:val="0"/>
          <w:sz w:val="21"/>
        </w:rPr>
        <w:t>Positive Marks: 1    Negative Marks: 0.25</w:t>
      </w:r>
    </w:p>
    <w:p>
      <w:pPr>
        <w:spacing w:before="280" w:after="40"/>
      </w:pPr>
      <w:r>
        <w:rPr>
          <w:b/>
        </w:rPr>
        <w:t xml:space="preserve">Question: </w:t>
      </w:r>
      <w:r>
        <w:t>A patient has been diagnosed with bronchopulmonary dysplasia 3rd stage. What is the meaning of the 3rd stage?</w:t>
      </w:r>
    </w:p>
    <w:p>
      <w:pPr>
        <w:spacing w:after="20" w:before="0"/>
      </w:pPr>
      <w:r>
        <w:rPr>
          <w:b w:val="0"/>
          <w:i w:val="0"/>
          <w:sz w:val="21"/>
        </w:rPr>
        <w:t>(a)  Stage 1 similar to uncomplicated RDS</w:t>
      </w:r>
    </w:p>
    <w:p>
      <w:pPr>
        <w:spacing w:after="20" w:before="0"/>
      </w:pPr>
      <w:r>
        <w:rPr>
          <w:b w:val="0"/>
          <w:i w:val="0"/>
          <w:sz w:val="21"/>
        </w:rPr>
        <w:t>(b)  Stage 2 pulmonary parenchymal opacities with bubbly appearance of lungs</w:t>
      </w:r>
    </w:p>
    <w:p>
      <w:pPr>
        <w:spacing w:after="20" w:before="0"/>
      </w:pPr>
      <w:r>
        <w:rPr>
          <w:b w:val="0"/>
          <w:i w:val="0"/>
          <w:sz w:val="21"/>
        </w:rPr>
        <w:t>(c)  Stage 3 &amp; 4 - areas of atelectasis, hyperinflation and fibrous sheaths</w:t>
      </w:r>
    </w:p>
    <w:p>
      <w:pPr>
        <w:spacing w:after="20" w:before="0"/>
      </w:pPr>
      <w:r>
        <w:rPr>
          <w:b w:val="0"/>
          <w:i w:val="0"/>
          <w:sz w:val="21"/>
        </w:rPr>
        <w:t>(d)  Recently CT &amp; MRI of chest reveals more details of lung injury</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Northway's radiological classification of BPD: Stage 1 (acute, RDS-like), Stage 2 (opacification of lung fields), Stage 3 (bubbly/emphysematous areas — small cystic lucencies of atelectasis alternating with hyperinflation) and Stage 4 (fibrosis and honeycombing). The THIRD stage therefore shows areas of atelectasis, hyperinflation and developing fibrous sheaths.</w:t>
      </w:r>
    </w:p>
    <w:p>
      <w:pPr>
        <w:spacing w:after="20" w:before="0"/>
      </w:pPr>
      <w:r>
        <w:rPr>
          <w:b/>
        </w:rPr>
        <w:t xml:space="preserve">🔍 Key Clues: </w:t>
      </w:r>
      <w:r>
        <w:t>Northway staging — stage 3 = atelectasis + hyperinflation with cystic/bubbly lungs.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RDS-like appearance is Stage 1 of BPD. | b — Parenchymal opacities with bubbly lungs describe Stage 2. | d — CT/MRI detail is a description of imaging modality, not the meaning of stage 3.</w:t>
      </w:r>
    </w:p>
    <w:p>
      <w:pPr>
        <w:spacing w:after="20" w:before="0"/>
      </w:pPr>
      <w:r>
        <w:rPr>
          <w:b/>
          <w:color w:val="B45F06"/>
        </w:rPr>
        <w:t xml:space="preserve">⚠️ Exam Trap: </w:t>
      </w:r>
      <w:r>
        <w:t>Northway stage 3 = 'bubbly lung' (small cysts) — do not confuse with Stage 2 opacification.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BPD (Northway): stage 3 = atelectasis + hyperinflation + fibrous sheaths.</w:t>
      </w:r>
    </w:p>
    <w:p>
      <w:pPr>
        <w:spacing w:after="0" w:before="0"/>
      </w:pPr>
      <w:r>
        <w:rPr>
          <w:b/>
          <w:i w:val="0"/>
          <w:sz w:val="21"/>
        </w:rPr>
        <w:t>Positive Marks: 1    Negative Marks: 0.25</w:t>
      </w:r>
    </w:p>
    <w:p>
      <w:pPr>
        <w:spacing w:before="280" w:after="40"/>
      </w:pPr>
      <w:r>
        <w:rPr>
          <w:b/>
        </w:rPr>
        <w:t xml:space="preserve">Question: </w:t>
      </w:r>
      <w:r>
        <w:t>A COPD pt is having breathless and dizziness. Which of the following ABG shows partially compensated respiratory acidosis?</w:t>
      </w:r>
    </w:p>
    <w:p>
      <w:pPr>
        <w:spacing w:after="20" w:before="0"/>
      </w:pPr>
      <w:r>
        <w:rPr>
          <w:b w:val="0"/>
          <w:i w:val="0"/>
          <w:sz w:val="21"/>
        </w:rPr>
        <w:t>(a)  pH = 7.46, CO2 = 28, bicarbonate = 22</w:t>
      </w:r>
    </w:p>
    <w:p>
      <w:pPr>
        <w:spacing w:after="20" w:before="0"/>
      </w:pPr>
      <w:r>
        <w:rPr>
          <w:b w:val="0"/>
          <w:i w:val="0"/>
          <w:sz w:val="21"/>
        </w:rPr>
        <w:t>(b)  pH 7.35, PCO2 49 mmHg, HCO3 28 mEq/L</w:t>
      </w:r>
    </w:p>
    <w:p>
      <w:pPr>
        <w:spacing w:after="20" w:before="0"/>
      </w:pPr>
      <w:r>
        <w:rPr>
          <w:b w:val="0"/>
          <w:i w:val="0"/>
          <w:sz w:val="21"/>
        </w:rPr>
        <w:t>(c)  pH 7.29, PCO2 50 mmHg, HCO3 28 mEq/L</w:t>
      </w:r>
    </w:p>
    <w:p>
      <w:pPr>
        <w:spacing w:after="20" w:before="0"/>
      </w:pPr>
      <w:r>
        <w:rPr>
          <w:b w:val="0"/>
          <w:i w:val="0"/>
          <w:sz w:val="21"/>
        </w:rPr>
        <w:t>(d)  pH 7.40, PCO2 40 mmHg, HCO3 24 mEq/L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Partially compensated respiratory acidosis = pH acidotic (↓), PaCO2 raised (respiratory driver), and HCO3 raised (renal compensation started but not complete). Option (b) — pH 7.35 (acidotic), PaCO2 49 (high), HCO3 28 (high) — is the textbook partially compensated respiratory acidosis of COPD. Option (c) is a more severe uncompensated-to-partially compensated acidosis; (a) is an alkalosis and (d) is normal.</w:t>
      </w:r>
    </w:p>
    <w:p>
      <w:pPr>
        <w:spacing w:after="20" w:before="0"/>
      </w:pPr>
      <w:r>
        <w:rPr>
          <w:b/>
        </w:rPr>
        <w:t xml:space="preserve">🔍 Key Clues: </w:t>
      </w:r>
      <w:r>
        <w:t>COPD + dizziness = CO2 retention; pH low + CO2 high + HCO3 high = partially compensated respiratory acidosis.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pH 7.46 with low CO2 = respiratory alkalosis, not acidosis. | c — pH 7.29 with HCO3 28 is closer to uncompensated respiratory acidosis — the key (b) is the classic 'borderline pH, both buffers abnormal' pattern. | d — pH 7.40, CO2 40, HCO3 24 = completely normal ABG.</w:t>
      </w:r>
    </w:p>
    <w:p>
      <w:pPr>
        <w:spacing w:after="20" w:before="0"/>
      </w:pPr>
      <w:r>
        <w:rPr>
          <w:b/>
          <w:color w:val="B45F06"/>
        </w:rPr>
        <w:t xml:space="preserve">⚠️ Exam Trap: </w:t>
      </w:r>
      <w:r>
        <w:t>Partially compensated = pH still abnormal + BOTH PaCO2 and HCO3 abnormal in the compensatory direction.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Respiratory acidosis + HCO3 up = renal compensation started; pH still low = partial compensation.</w:t>
      </w:r>
    </w:p>
    <w:p>
      <w:pPr>
        <w:spacing w:after="0" w:before="0"/>
      </w:pPr>
      <w:r>
        <w:rPr>
          <w:b/>
          <w:i w:val="0"/>
          <w:sz w:val="21"/>
        </w:rPr>
        <w:t>Positive Marks: 1    Negative Marks: 0.25</w:t>
      </w:r>
    </w:p>
    <w:p>
      <w:pPr>
        <w:spacing w:before="280" w:after="40"/>
      </w:pPr>
      <w:r>
        <w:rPr>
          <w:b/>
        </w:rPr>
        <w:t xml:space="preserve">Question: </w:t>
      </w:r>
      <w:r>
        <w:t>A child has been diagnosed with RSV. He is having copious secretion and difficulty breathing. What should be the next management?</w:t>
      </w:r>
    </w:p>
    <w:p>
      <w:pPr>
        <w:spacing w:after="20" w:before="0"/>
      </w:pPr>
      <w:r>
        <w:rPr>
          <w:b w:val="0"/>
          <w:i w:val="0"/>
          <w:sz w:val="21"/>
        </w:rPr>
        <w:t>(a)  Suction, give high O2 via face mask and prep to intubate</w:t>
      </w:r>
    </w:p>
    <w:p>
      <w:pPr>
        <w:spacing w:after="20" w:before="0"/>
      </w:pPr>
      <w:r>
        <w:rPr>
          <w:b w:val="0"/>
          <w:i w:val="0"/>
          <w:sz w:val="21"/>
        </w:rPr>
        <w:t>(b)  Give oral fluids only</w:t>
      </w:r>
    </w:p>
    <w:p>
      <w:pPr>
        <w:spacing w:after="20" w:before="0"/>
      </w:pPr>
      <w:r>
        <w:rPr>
          <w:b w:val="0"/>
          <w:i w:val="0"/>
          <w:sz w:val="21"/>
        </w:rPr>
        <w:t>(c)  Administer antibiotics immediately</w:t>
      </w:r>
    </w:p>
    <w:p>
      <w:pPr>
        <w:spacing w:after="20" w:before="0"/>
      </w:pPr>
      <w:r>
        <w:rPr>
          <w:b w:val="0"/>
          <w:i w:val="0"/>
          <w:sz w:val="21"/>
        </w:rPr>
        <w:t>(d)  Reassure and observe at home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RSV bronchiolitis with copious secretions and respiratory difficulty needs immediate airway clearance — suction the secretions, give humidified oxygen via face mask and keep airway equipment ready because worsening distress may require intubation. Antibiotics are not indicated for a viral illness, and the child with breathing difficulty cannot be sent home for observation.</w:t>
      </w:r>
    </w:p>
    <w:p>
      <w:pPr>
        <w:spacing w:after="20" w:before="0"/>
      </w:pPr>
      <w:r>
        <w:rPr>
          <w:b/>
        </w:rPr>
        <w:t xml:space="preserve">🔍 Key Clues: </w:t>
      </w:r>
      <w:r>
        <w:t>Copious secretions + difficulty breathing → suction + O2 + prepare for possible intubation.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Oral fluids alone do not address airway obstruction or hypoxia. | c — RSV is viral — antibiotics are not the first-line management. | d — Home observation is unsafe when the child is in respiratory distress.</w:t>
      </w:r>
    </w:p>
    <w:p>
      <w:pPr>
        <w:spacing w:after="20" w:before="0"/>
      </w:pPr>
      <w:r>
        <w:rPr>
          <w:b/>
          <w:color w:val="B45F06"/>
        </w:rPr>
        <w:t xml:space="preserve">⚠️ Exam Trap: </w:t>
      </w:r>
      <w:r>
        <w:t>RSV care is supportive: airway, oxygen, fluids — not antibiotics.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RSV bronchiolitis: suction + O2 + readiness to intubate.</w:t>
      </w:r>
    </w:p>
    <w:p>
      <w:pPr>
        <w:spacing w:after="0" w:before="0"/>
      </w:pPr>
      <w:r>
        <w:rPr>
          <w:b/>
          <w:i w:val="0"/>
          <w:sz w:val="21"/>
        </w:rPr>
        <w:t>Positive Marks: 1    Negative Marks: 0.25</w:t>
      </w:r>
    </w:p>
    <w:p>
      <w:pPr>
        <w:spacing w:before="280" w:after="40"/>
      </w:pPr>
      <w:r>
        <w:rPr>
          <w:b/>
        </w:rPr>
        <w:t xml:space="preserve">Question: </w:t>
      </w:r>
      <w:r>
        <w:t>Which of the following is the vector of Zika virus?</w:t>
      </w:r>
    </w:p>
    <w:p>
      <w:pPr>
        <w:spacing w:after="20" w:before="0"/>
      </w:pPr>
      <w:r>
        <w:rPr>
          <w:b w:val="0"/>
          <w:i w:val="0"/>
          <w:sz w:val="21"/>
        </w:rPr>
        <w:t>(a)  Sandfly</w:t>
      </w:r>
    </w:p>
    <w:p>
      <w:pPr>
        <w:spacing w:after="20" w:before="0"/>
      </w:pPr>
      <w:r>
        <w:rPr>
          <w:b w:val="0"/>
          <w:i w:val="0"/>
          <w:sz w:val="21"/>
        </w:rPr>
        <w:t>(b)  Aedes</w:t>
      </w:r>
    </w:p>
    <w:p>
      <w:pPr>
        <w:spacing w:after="20" w:before="0"/>
      </w:pPr>
      <w:r>
        <w:rPr>
          <w:b w:val="0"/>
          <w:i w:val="0"/>
          <w:sz w:val="21"/>
        </w:rPr>
        <w:t>(c)  Culex</w:t>
      </w:r>
    </w:p>
    <w:p>
      <w:pPr>
        <w:spacing w:after="20" w:before="0"/>
      </w:pPr>
      <w:r>
        <w:rPr>
          <w:b w:val="0"/>
          <w:i w:val="0"/>
          <w:sz w:val="21"/>
        </w:rPr>
        <w:t>(d)  Anopheles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Zika virus is transmitted by the bite of the AEDES mosquito (Aedes aegypti, also Aedes albopictus) — the same vector as dengue, chikungunya and yellow fever. Anopheles transmits malaria, Culex transmits Japanese encephalitis/filariasis, and sandflies transmit leishmaniasis (kala-azar).</w:t>
      </w:r>
    </w:p>
    <w:p>
      <w:pPr>
        <w:spacing w:after="20" w:before="0"/>
      </w:pPr>
      <w:r>
        <w:rPr>
          <w:b/>
        </w:rPr>
        <w:t xml:space="preserve">🔍 Key Clues: </w:t>
      </w:r>
      <w:r>
        <w:t>Zika = Aedes — remember the dengue-chikungunya-Zika cluster share the Aedes vector.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Sandfly transmits kala-azar (visceral leishmaniasis). | c — Culex transmits JE and filariasis. | d — Anopheles transmits malaria.</w:t>
      </w:r>
    </w:p>
    <w:p>
      <w:pPr>
        <w:spacing w:after="20" w:before="0"/>
      </w:pPr>
      <w:r>
        <w:rPr>
          <w:b/>
          <w:color w:val="B45F06"/>
        </w:rPr>
        <w:t xml:space="preserve">⚠️ Exam Trap: </w:t>
      </w:r>
      <w:r>
        <w:t>All four are mosquitoes/flies — pair each disease with ITS vector rather than guessing by elimination.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Aedes: dengue, chikungunya, Zika, yellow fever.</w:t>
      </w:r>
    </w:p>
    <w:p>
      <w:pPr>
        <w:spacing w:after="0" w:before="0"/>
      </w:pPr>
      <w:r>
        <w:rPr>
          <w:b/>
          <w:i w:val="0"/>
          <w:sz w:val="21"/>
        </w:rPr>
        <w:t>Positive Marks: 1    Negative Marks: 0.25</w:t>
      </w:r>
    </w:p>
    <w:p>
      <w:pPr>
        <w:spacing w:before="280" w:after="40"/>
      </w:pPr>
      <w:r>
        <w:rPr>
          <w:b/>
        </w:rPr>
        <w:t xml:space="preserve">Question: </w:t>
      </w:r>
      <w:r>
        <w:t>What is the ideal duration of Cu-T380A?</w:t>
      </w:r>
    </w:p>
    <w:p>
      <w:pPr>
        <w:spacing w:after="20" w:before="0"/>
      </w:pPr>
      <w:r>
        <w:rPr>
          <w:b w:val="0"/>
          <w:i w:val="0"/>
          <w:sz w:val="21"/>
        </w:rPr>
        <w:t>(a)  3 yr</w:t>
      </w:r>
    </w:p>
    <w:p>
      <w:pPr>
        <w:spacing w:after="20" w:before="0"/>
      </w:pPr>
      <w:r>
        <w:rPr>
          <w:b w:val="0"/>
          <w:i w:val="0"/>
          <w:sz w:val="21"/>
        </w:rPr>
        <w:t>(b)  2 yr</w:t>
      </w:r>
    </w:p>
    <w:p>
      <w:pPr>
        <w:spacing w:after="20" w:before="0"/>
      </w:pPr>
      <w:r>
        <w:rPr>
          <w:b w:val="0"/>
          <w:i w:val="0"/>
          <w:sz w:val="21"/>
        </w:rPr>
        <w:t>(c)  5 yr</w:t>
      </w:r>
    </w:p>
    <w:p>
      <w:pPr>
        <w:spacing w:after="20" w:before="0"/>
      </w:pPr>
      <w:r>
        <w:rPr>
          <w:b w:val="0"/>
          <w:i w:val="0"/>
          <w:sz w:val="21"/>
        </w:rPr>
        <w:t>(d)  10 yr</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Cu-T 380A is a long-acting reversible contraceptive effective for 10 YEARS. This is why it is the copper IUD of choice in national programmes — one insertion gives a decade of protection with a failure rate below 1%. (Cu-T 200 is effective for 3 years — a common confounder.)</w:t>
      </w:r>
    </w:p>
    <w:p>
      <w:pPr>
        <w:spacing w:after="20" w:before="0"/>
      </w:pPr>
      <w:r>
        <w:rPr>
          <w:b/>
        </w:rPr>
        <w:t xml:space="preserve">🔍 Key Clues: </w:t>
      </w:r>
      <w:r>
        <w:t>Cu-T380A = 10 years; Cu-T200 = 3 years.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3 years is the duration of the older Cu-T 200. | b — 2 years is not the approved duration of any copper IUD. | c — 5 years is often quoted for other hormonal IUS comparisons, not Cu-T380A.</w:t>
      </w:r>
    </w:p>
    <w:p>
      <w:pPr>
        <w:spacing w:after="20" w:before="0"/>
      </w:pPr>
      <w:r>
        <w:rPr>
          <w:b/>
          <w:color w:val="B45F06"/>
        </w:rPr>
        <w:t xml:space="preserve">⚠️ Exam Trap: </w:t>
      </w:r>
      <w:r>
        <w:t>380A = 380 mm² copper → 10 years; the '3 years' distractor is Cu-T 200.</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Cu-T380A protects for 10 years.</w:t>
      </w:r>
    </w:p>
    <w:p>
      <w:pPr>
        <w:spacing w:after="0" w:before="0"/>
      </w:pPr>
      <w:r>
        <w:rPr>
          <w:b/>
          <w:i w:val="0"/>
          <w:sz w:val="21"/>
        </w:rPr>
        <w:t>Positive Marks: 1    Negative Marks: 0.25</w:t>
      </w:r>
    </w:p>
    <w:p>
      <w:pPr>
        <w:spacing w:before="280" w:after="40"/>
      </w:pPr>
      <w:r>
        <w:rPr>
          <w:b/>
        </w:rPr>
        <w:t xml:space="preserve">Question: </w:t>
      </w:r>
      <w:r>
        <w:t>A 4 yr old girl has been brought by her mother to the clinic. According to IMNCI, which of the following is NOT a danger sign?</w:t>
      </w:r>
    </w:p>
    <w:p>
      <w:pPr>
        <w:spacing w:after="20" w:before="0"/>
      </w:pPr>
      <w:r>
        <w:rPr>
          <w:b w:val="0"/>
          <w:i w:val="0"/>
          <w:sz w:val="21"/>
        </w:rPr>
        <w:t>(a)  Fever</w:t>
      </w:r>
    </w:p>
    <w:p>
      <w:pPr>
        <w:spacing w:after="20" w:before="0"/>
      </w:pPr>
      <w:r>
        <w:rPr>
          <w:b w:val="0"/>
          <w:i w:val="0"/>
          <w:sz w:val="21"/>
        </w:rPr>
        <w:t>(b)  Cough &gt; 7 day</w:t>
      </w:r>
    </w:p>
    <w:p>
      <w:pPr>
        <w:spacing w:after="20" w:before="0"/>
      </w:pPr>
      <w:r>
        <w:rPr>
          <w:b w:val="0"/>
          <w:i w:val="0"/>
          <w:sz w:val="21"/>
        </w:rPr>
        <w:t>(c)  Inability to drink or breastfeed</w:t>
      </w:r>
    </w:p>
    <w:p>
      <w:pPr>
        <w:spacing w:after="20" w:before="0"/>
      </w:pPr>
      <w:r>
        <w:rPr>
          <w:b w:val="0"/>
          <w:i w:val="0"/>
          <w:sz w:val="21"/>
        </w:rPr>
        <w:t>(d)  Unconscious or unable to breastfeed</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four IMNCI GENERAL DANGER SIGNS in a child aged 2 months–5 years are: (1) unable to drink or breastfeed, (2) vomits everything, (3) convulsions, and (4) lethargic or unconscious. FEVER alone is a presenting symptom, not one of the general danger signs. Inability to drink and unconsciousness (options c, d) are true danger signs.</w:t>
      </w:r>
    </w:p>
    <w:p>
      <w:pPr>
        <w:spacing w:after="20" w:before="0"/>
      </w:pPr>
      <w:r>
        <w:rPr>
          <w:b/>
        </w:rPr>
        <w:t xml:space="preserve">🔍 Key Clues: </w:t>
      </w:r>
      <w:r>
        <w:t>IMNCI general danger signs: not able to drink/breastfeed, vomits everything, convulsions, lethargic/unconscious.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Cough &gt; 7 days is also not among the four general danger signs — it prompts referral for chronic cough assessment, making this option a near-correct distractor. | c — Inability to drink or breastfeed IS a general danger sign. | d — Lethargy/unconsciousness IS a general danger sign.</w:t>
      </w:r>
    </w:p>
    <w:p>
      <w:pPr>
        <w:spacing w:after="20" w:before="0"/>
      </w:pPr>
      <w:r>
        <w:rPr>
          <w:b/>
          <w:color w:val="B45F06"/>
        </w:rPr>
        <w:t xml:space="preserve">⚠️ Exam Trap: </w:t>
      </w:r>
      <w:r>
        <w:t>This item is slightly ambiguous (cough &gt; 7 days is also not a general danger sign); the most widely accepted answer is FEVER, which is only a symptom category in IMNCI.</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IMNCI danger signs: can't drink/breastfeed, vomits everything, convulsions, lethargic/unconscious.</w:t>
      </w:r>
    </w:p>
    <w:p>
      <w:pPr>
        <w:spacing w:after="0" w:before="0"/>
      </w:pPr>
      <w:r>
        <w:rPr>
          <w:b/>
          <w:i w:val="0"/>
          <w:sz w:val="21"/>
        </w:rPr>
        <w:t>Positive Marks: 1    Negative Marks: 0.25</w:t>
      </w:r>
    </w:p>
    <w:p>
      <w:pPr>
        <w:spacing w:before="280" w:after="40"/>
      </w:pPr>
      <w:r>
        <w:rPr>
          <w:b/>
        </w:rPr>
        <w:t xml:space="preserve">Question: </w:t>
      </w:r>
      <w:r>
        <w:t>Identify the symbol shown in the photograph?</w:t>
      </w:r>
    </w:p>
    <w:p>
      <w:pPr>
        <w:spacing w:after="20" w:before="0"/>
      </w:pPr>
      <w:r>
        <w:rPr>
          <w:b w:val="0"/>
          <w:i w:val="0"/>
          <w:sz w:val="21"/>
        </w:rPr>
        <w:t>(a)  Radiation hazard</w:t>
      </w:r>
    </w:p>
    <w:p>
      <w:pPr>
        <w:spacing w:after="20" w:before="0"/>
      </w:pPr>
      <w:r>
        <w:rPr>
          <w:b w:val="0"/>
          <w:i w:val="0"/>
          <w:sz w:val="21"/>
        </w:rPr>
        <w:t>(b)  Biohazard waste</w:t>
      </w:r>
    </w:p>
    <w:p>
      <w:pPr>
        <w:spacing w:after="20" w:before="0"/>
      </w:pPr>
      <w:r>
        <w:rPr>
          <w:b w:val="0"/>
          <w:i w:val="0"/>
          <w:sz w:val="21"/>
        </w:rPr>
        <w:t>(c)  Cytotoxic waste</w:t>
      </w:r>
    </w:p>
    <w:p>
      <w:pPr>
        <w:spacing w:after="20" w:before="0"/>
      </w:pPr>
      <w:r>
        <w:rPr>
          <w:b w:val="0"/>
          <w:i w:val="0"/>
          <w:sz w:val="21"/>
        </w:rPr>
        <w:t>(d)  Biodegradable waste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image shows the classic BIOHAZARD symbol — three interlocking circles on a triangular outline (often with a biohazard label). In biomedical waste management, the biohazard/infectious symbol is applied to containers holding infectious waste. Radiation hazard uses the trefoil symbol, cytotoxic waste shows a distinct cytotoxic label, and biodegradable waste uses a green colour code.</w:t>
      </w:r>
    </w:p>
    <w:p>
      <w:pPr>
        <w:spacing w:after="20" w:before="0"/>
      </w:pPr>
      <w:r>
        <w:rPr>
          <w:b/>
        </w:rPr>
        <w:t xml:space="preserve">🔍 Key Clues: </w:t>
      </w:r>
      <w:r>
        <w:t>Three interlocking circles in a triangle = biohazard (infectious waste) symbol.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Radiation hazard uses the black/yellow trefoil (clover) symbol. | c — Cytotoxic waste has its own specific label with a biohazard triangle variant. | d — Biodegradable waste is identified by colour coding (green), not this symbol.</w:t>
      </w:r>
    </w:p>
    <w:p>
      <w:pPr>
        <w:spacing w:after="20" w:before="0"/>
      </w:pPr>
      <w:r>
        <w:rPr>
          <w:b/>
          <w:color w:val="B45F06"/>
        </w:rPr>
        <w:t xml:space="preserve">⚠️ Exam Trap: </w:t>
      </w:r>
      <w:r>
        <w:t>Biohazard (interlocking circles) vs radiation (trefoil blades) — the two most-confused hazard symbols.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Biohazard = 3 interlocking circles; radiation = trefoil; cytotoxic = specific cytotoxic label.</w:t>
      </w:r>
    </w:p>
    <w:p>
      <w:pPr>
        <w:spacing w:after="0" w:before="0"/>
      </w:pPr>
      <w:r>
        <w:rPr>
          <w:b/>
          <w:i w:val="0"/>
          <w:sz w:val="21"/>
        </w:rPr>
        <w:t>Positive Marks: 1    Negative Marks: 0.25</w:t>
      </w:r>
    </w:p>
    <w:p>
      <w:pPr>
        <w:spacing w:before="280" w:after="40"/>
      </w:pPr>
      <w:r>
        <w:rPr>
          <w:b/>
        </w:rPr>
        <w:t xml:space="preserve">Question: </w:t>
      </w:r>
      <w:r>
        <w:t>A patient came to the casualty with chest trauma, absent breath sounds, tracheal deviation. What will be the immediate management of the patient?</w:t>
      </w:r>
    </w:p>
    <w:p>
      <w:pPr>
        <w:spacing w:after="20" w:before="0"/>
      </w:pPr>
      <w:r>
        <w:rPr>
          <w:b w:val="0"/>
          <w:i w:val="0"/>
          <w:sz w:val="21"/>
        </w:rPr>
        <w:t>(a)  Needle decompression</w:t>
      </w:r>
    </w:p>
    <w:p>
      <w:pPr>
        <w:spacing w:after="20" w:before="0"/>
      </w:pPr>
      <w:r>
        <w:rPr>
          <w:b w:val="0"/>
          <w:i w:val="0"/>
          <w:sz w:val="21"/>
        </w:rPr>
        <w:t>(b)  ICD insertion</w:t>
      </w:r>
    </w:p>
    <w:p>
      <w:pPr>
        <w:spacing w:after="20" w:before="0"/>
      </w:pPr>
      <w:r>
        <w:rPr>
          <w:b w:val="0"/>
          <w:i w:val="0"/>
          <w:sz w:val="21"/>
        </w:rPr>
        <w:t>(c)  Oxygen only</w:t>
      </w:r>
    </w:p>
    <w:p>
      <w:pPr>
        <w:spacing w:after="20" w:before="0"/>
      </w:pPr>
      <w:r>
        <w:rPr>
          <w:b w:val="0"/>
          <w:i w:val="0"/>
          <w:sz w:val="21"/>
        </w:rPr>
        <w:t>(d)  Wait and watch</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Chest trauma + absent breath sounds + tracheal deviation = TENSION PNEUMOTHORAX, a life-threatening emergency. The immediate management is NEEDLE DECOMPRESSION (large-bore needle in the 2nd intercostal space, mid-clavicular line) to convert it to a simple pneumothorax, followed by intercostal chest tube drainage. Oxygen alone or observation will not relieve the tension physiology.</w:t>
      </w:r>
    </w:p>
    <w:p>
      <w:pPr>
        <w:spacing w:after="20" w:before="0"/>
      </w:pPr>
      <w:r>
        <w:rPr>
          <w:b/>
        </w:rPr>
        <w:t xml:space="preserve">🔍 Key Clues: </w:t>
      </w:r>
      <w:r>
        <w:t>Absent breath sounds + tracheal deviation = tension pneumothorax → immediate needle decompression.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ICD insertion follows needle decompression — it is the definitive step, not the immediate first step. | c — Oxygen alone does not relieve the trapped intrapleural air. | d — Observation is dangerous in a tension pneumothorax — it can cause cardiac arrest.</w:t>
      </w:r>
    </w:p>
    <w:p>
      <w:pPr>
        <w:spacing w:after="20" w:before="0"/>
      </w:pPr>
      <w:r>
        <w:rPr>
          <w:b/>
          <w:color w:val="B45F06"/>
        </w:rPr>
        <w:t xml:space="preserve">⚠️ Exam Trap: </w:t>
      </w:r>
      <w:r>
        <w:t>Needle decompression FIRST (immediate), chest tube SECOND (definitive) — the stem asks for the immediate management.</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Tension pneumothorax: needle decompression 2nd ICS mid-clavicular, then ICD.</w:t>
      </w:r>
    </w:p>
    <w:p>
      <w:pPr>
        <w:spacing w:after="0" w:before="0"/>
      </w:pPr>
      <w:r>
        <w:rPr>
          <w:b/>
          <w:i w:val="0"/>
          <w:sz w:val="21"/>
        </w:rPr>
        <w:t>Positive Marks: 1    Negative Marks: 0.25</w:t>
      </w:r>
    </w:p>
    <w:p>
      <w:pPr>
        <w:spacing w:before="280" w:after="40"/>
      </w:pPr>
      <w:r>
        <w:rPr>
          <w:b/>
        </w:rPr>
        <w:t xml:space="preserve">Question: </w:t>
      </w:r>
      <w:r>
        <w:t>A female has given birth at PHC. In which biomedical waste will the placenta be disposed of?</w:t>
      </w:r>
    </w:p>
    <w:p>
      <w:pPr>
        <w:spacing w:after="20" w:before="0"/>
      </w:pPr>
      <w:r>
        <w:rPr>
          <w:b w:val="0"/>
          <w:i w:val="0"/>
          <w:sz w:val="21"/>
        </w:rPr>
        <w:t>(a)  Yellow</w:t>
      </w:r>
    </w:p>
    <w:p>
      <w:pPr>
        <w:spacing w:after="20" w:before="0"/>
      </w:pPr>
      <w:r>
        <w:rPr>
          <w:b w:val="0"/>
          <w:i w:val="0"/>
          <w:sz w:val="21"/>
        </w:rPr>
        <w:t>(b)  Blue</w:t>
      </w:r>
    </w:p>
    <w:p>
      <w:pPr>
        <w:spacing w:after="20" w:before="0"/>
      </w:pPr>
      <w:r>
        <w:rPr>
          <w:b w:val="0"/>
          <w:i w:val="0"/>
          <w:sz w:val="21"/>
        </w:rPr>
        <w:t>(c)  White</w:t>
      </w:r>
    </w:p>
    <w:p>
      <w:pPr>
        <w:spacing w:after="20" w:before="0"/>
      </w:pPr>
      <w:r>
        <w:rPr>
          <w:b w:val="0"/>
          <w:i w:val="0"/>
          <w:sz w:val="21"/>
        </w:rPr>
        <w:t>(d)  Red</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placenta is ANATOMICAL WASTE (human tissue/organs) and per BMW Rules 2016 it is disposed of in the YELLOW category (yellow bag → incineration/deep burial). Blue/white containers take glass and sharps respectively, and red bags take recyclable contaminated plastic waste.</w:t>
      </w:r>
    </w:p>
    <w:p>
      <w:pPr>
        <w:spacing w:after="20" w:before="0"/>
      </w:pPr>
      <w:r>
        <w:rPr>
          <w:b/>
        </w:rPr>
        <w:t xml:space="preserve">🔍 Key Clues: </w:t>
      </w:r>
      <w:r>
        <w:t>Placenta = anatomical waste → yellow category bag.</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b — Blue = glassware (non-chlorinated plastics/glass). | c — White/translucent = sharps (needles, blades). | d — Red = recyclable contaminated plastics (IV sets, tubing).</w:t>
      </w:r>
    </w:p>
    <w:p>
      <w:pPr>
        <w:spacing w:after="20" w:before="0"/>
      </w:pPr>
      <w:r>
        <w:rPr>
          <w:b/>
          <w:color w:val="B45F06"/>
        </w:rPr>
        <w:t xml:space="preserve">⚠️ Exam Trap: </w:t>
      </w:r>
      <w:r>
        <w:t>Anatomical waste (placenta, body parts) is YELLOW, not red — the common mix-up.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Yellow bag = anatomical + infectious waste; red = recyclable plastic; blue = glass; white = sharps.</w:t>
      </w:r>
    </w:p>
    <w:p>
      <w:pPr>
        <w:spacing w:after="0" w:before="0"/>
      </w:pPr>
      <w:r>
        <w:rPr>
          <w:b/>
          <w:i w:val="0"/>
          <w:sz w:val="21"/>
        </w:rPr>
        <w:t>Positive Marks: 1    Negative Marks: 0.25</w:t>
      </w:r>
    </w:p>
    <w:p>
      <w:pPr>
        <w:spacing w:before="280" w:after="40"/>
      </w:pPr>
      <w:r>
        <w:rPr>
          <w:b/>
        </w:rPr>
        <w:t xml:space="preserve">Question: </w:t>
      </w:r>
      <w:r>
        <w:t>Which of the following is incorrect regarding BMW?</w:t>
      </w:r>
    </w:p>
    <w:p>
      <w:pPr>
        <w:spacing w:after="20" w:before="0"/>
      </w:pPr>
      <w:r>
        <w:rPr>
          <w:b w:val="0"/>
          <w:i w:val="0"/>
          <w:sz w:val="21"/>
        </w:rPr>
        <w:t>(a)  Always collect needle and syringe in polythene bag</w:t>
      </w:r>
    </w:p>
    <w:p>
      <w:pPr>
        <w:spacing w:after="20" w:before="0"/>
      </w:pPr>
      <w:r>
        <w:rPr>
          <w:b w:val="0"/>
          <w:i w:val="0"/>
          <w:sz w:val="21"/>
        </w:rPr>
        <w:t>(b)  Always segregation of the waste should be done at the source of generation</w:t>
      </w:r>
    </w:p>
    <w:p>
      <w:pPr>
        <w:spacing w:after="20" w:before="0"/>
      </w:pPr>
      <w:r>
        <w:rPr>
          <w:b w:val="0"/>
          <w:i w:val="0"/>
          <w:sz w:val="21"/>
        </w:rPr>
        <w:t>(c)  Never recap or bend the needle</w:t>
      </w:r>
    </w:p>
    <w:p>
      <w:pPr>
        <w:spacing w:after="20" w:before="0"/>
      </w:pPr>
      <w:r>
        <w:rPr>
          <w:b w:val="0"/>
          <w:i w:val="0"/>
          <w:sz w:val="21"/>
        </w:rPr>
        <w:t>(d)  Always fill the bag 3/4th of the total</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Sharps (needles, syringes, blades) must NEVER be collected in a polythene bag — they go into a PUNCTURE-PROOF container (white/translucent). The other three statements are correct BMW practices: segregation at the point of generation, never recapping/bending needles, and filling bags only 3/4 full before sealing.</w:t>
      </w:r>
    </w:p>
    <w:p>
      <w:pPr>
        <w:spacing w:after="20" w:before="0"/>
      </w:pPr>
      <w:r>
        <w:rPr>
          <w:b/>
        </w:rPr>
        <w:t xml:space="preserve">🔍 Key Clues: </w:t>
      </w:r>
      <w:r>
        <w:t>Needles = puncture-proof sharps container, never a polythene bag.</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b — Segregation at source is a correct, mandatory BMW rule. | c — Never recap or bend needles is the standard sharps-safety rule. | d — Bags are filled only to 3/4 capacity — a correct practice.</w:t>
      </w:r>
    </w:p>
    <w:p>
      <w:pPr>
        <w:spacing w:after="20" w:before="0"/>
      </w:pPr>
      <w:r>
        <w:rPr>
          <w:b/>
          <w:color w:val="B45F06"/>
        </w:rPr>
        <w:t xml:space="preserve">⚠️ Exam Trap: </w:t>
      </w:r>
      <w:r>
        <w:t>Polythene bags are easily pierced — sharps need puncture-proof containers.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Sharps → white puncture-proof container; never in polythene.</w:t>
      </w:r>
    </w:p>
    <w:p>
      <w:pPr>
        <w:spacing w:after="0" w:before="0"/>
      </w:pPr>
      <w:r>
        <w:rPr>
          <w:b/>
          <w:i w:val="0"/>
          <w:sz w:val="21"/>
        </w:rPr>
        <w:t>Positive Marks: 1    Negative Marks: 0.25</w:t>
      </w:r>
    </w:p>
    <w:p>
      <w:pPr>
        <w:spacing w:before="280" w:after="40"/>
      </w:pPr>
      <w:r>
        <w:rPr>
          <w:b/>
        </w:rPr>
        <w:t xml:space="preserve">Question: </w:t>
      </w:r>
      <w:r>
        <w:t>A patient underwent thyroid surgery. 4 days later he is complaining of tingling around the mouth and fingers. When you tap over a patient face, the face is lateralized to one side. What will be the possible cause for this?</w:t>
      </w:r>
    </w:p>
    <w:p>
      <w:pPr>
        <w:spacing w:after="20" w:before="0"/>
      </w:pPr>
      <w:r>
        <w:rPr>
          <w:b w:val="0"/>
          <w:i w:val="0"/>
          <w:sz w:val="21"/>
        </w:rPr>
        <w:t>(a)  Hematoma compression on trachea</w:t>
      </w:r>
    </w:p>
    <w:p>
      <w:pPr>
        <w:spacing w:after="20" w:before="0"/>
      </w:pPr>
      <w:r>
        <w:rPr>
          <w:b w:val="0"/>
          <w:i w:val="0"/>
          <w:sz w:val="21"/>
        </w:rPr>
        <w:t>(b)  Thyroid storm</w:t>
      </w:r>
    </w:p>
    <w:p>
      <w:pPr>
        <w:spacing w:after="20" w:before="0"/>
      </w:pPr>
      <w:r>
        <w:rPr>
          <w:b w:val="0"/>
          <w:i w:val="0"/>
          <w:sz w:val="21"/>
        </w:rPr>
        <w:t>(c)  Hypocalcemia due to accidental removal of parathyroid gland</w:t>
      </w:r>
    </w:p>
    <w:p>
      <w:pPr>
        <w:spacing w:after="20" w:before="0"/>
      </w:pPr>
      <w:r>
        <w:rPr>
          <w:b w:val="0"/>
          <w:i w:val="0"/>
          <w:sz w:val="21"/>
        </w:rPr>
        <w:t>(d)  Recurrent laryngeal nerve injury</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Tingling (perioral/finger paresthesias) with a positive CHVOSTEK'S SIGN (facial twitch on tapping the facial nerve) after thyroidectomy = HYPOCALCEMIA from accidental parathyroid removal/devascularisation during surgery. This usually appears 1–7 days post-op. Hematoma causes stridor and neck swelling; thyroid storm presents with fever, tachycardia and agitation; RLN injury causes hoarseness.</w:t>
      </w:r>
    </w:p>
    <w:p>
      <w:pPr>
        <w:spacing w:after="20" w:before="0"/>
      </w:pPr>
      <w:r>
        <w:rPr>
          <w:b/>
        </w:rPr>
        <w:t xml:space="preserve">🔍 Key Clues: </w:t>
      </w:r>
      <w:r>
        <w:t>Post-thyroidectomy paresthesias + Chvostek positive → hypocalcemia (parathyroid damage).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Hematoma presents with acute respiratory distress, neck swelling — not tingling. | b — Thyroid storm = high fever, tachyarrhythmia, delirium. | d — RLN injury gives hoarseness/stridor, not tingling or facial twitching.</w:t>
      </w:r>
    </w:p>
    <w:p>
      <w:pPr>
        <w:spacing w:after="20" w:before="0"/>
      </w:pPr>
      <w:r>
        <w:rPr>
          <w:b/>
          <w:color w:val="B45F06"/>
        </w:rPr>
        <w:t xml:space="preserve">⚠️ Exam Trap: </w:t>
      </w:r>
      <w:r>
        <w:t>Chvostek's (tap facial nerve → twitch) and Trousseau's (cuff → carpal spasm) = hypocalcemia after thyroid surgery.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Post-thyroidectomy hypocalcemia: paresthesias + Chvostek/Trousseau → give IV calcium.</w:t>
      </w:r>
    </w:p>
    <w:p>
      <w:pPr>
        <w:spacing w:after="0" w:before="0"/>
      </w:pPr>
      <w:r>
        <w:rPr>
          <w:b/>
          <w:i w:val="0"/>
          <w:sz w:val="21"/>
        </w:rPr>
        <w:t>Positive Marks: 1    Negative Marks: 0.25</w:t>
      </w:r>
    </w:p>
    <w:p>
      <w:pPr>
        <w:spacing w:before="280" w:after="40"/>
      </w:pPr>
      <w:r>
        <w:rPr>
          <w:b/>
        </w:rPr>
        <w:t xml:space="preserve">Question: </w:t>
      </w:r>
      <w:r>
        <w:t>Patient skipping thyroid medication for one week. He is suffering from tremors, BP 80/50 mmHg, heart rate 46 bpm. What will be the immediate management for this patient?</w:t>
      </w:r>
    </w:p>
    <w:p>
      <w:pPr>
        <w:spacing w:after="20" w:before="0"/>
      </w:pPr>
      <w:r>
        <w:rPr>
          <w:b w:val="0"/>
          <w:i w:val="0"/>
          <w:sz w:val="21"/>
        </w:rPr>
        <w:t>(a)  Administer atropine 0.5 mg for symptomatic bradycardia</w:t>
      </w:r>
    </w:p>
    <w:p>
      <w:pPr>
        <w:spacing w:after="20" w:before="0"/>
      </w:pPr>
      <w:r>
        <w:rPr>
          <w:b w:val="0"/>
          <w:i w:val="0"/>
          <w:sz w:val="21"/>
        </w:rPr>
        <w:t>(b)  Immediate IV thyroid medicine + antibiotic</w:t>
      </w:r>
    </w:p>
    <w:p>
      <w:pPr>
        <w:spacing w:after="20" w:before="0"/>
      </w:pPr>
      <w:r>
        <w:rPr>
          <w:b w:val="0"/>
          <w:i w:val="0"/>
          <w:sz w:val="21"/>
        </w:rPr>
        <w:t>(c)  Warm the patient</w:t>
      </w:r>
    </w:p>
    <w:p>
      <w:pPr>
        <w:spacing w:after="20" w:before="0"/>
      </w:pPr>
      <w:r>
        <w:rPr>
          <w:b w:val="0"/>
          <w:i w:val="0"/>
          <w:sz w:val="21"/>
        </w:rPr>
        <w:t>(d)  Administer fluid</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Skipped thyroid medication with hypotension, bradycardia and tremors suggests decompensated hypothyroidism (myxedema picture). The IMMEDIATE priority is the unstable bradycardia — give ATROPINE 0.5 mg IV for symptomatic bradycardia while arranging thyroid hormone replacement and supportive care. Warming and fluids are supportive measures, and thyroid hormone is the definitive therapy but not the immediate 'first' step for the bradycardia.</w:t>
      </w:r>
    </w:p>
    <w:p>
      <w:pPr>
        <w:spacing w:after="20" w:before="0"/>
      </w:pPr>
      <w:r>
        <w:rPr>
          <w:b/>
        </w:rPr>
        <w:t xml:space="preserve">🔍 Key Clues: </w:t>
      </w:r>
      <w:r>
        <w:t>HR 46 with low BP = symptomatic bradycardia → atropine 0.5 mg IV first.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Thyroid hormone replacement is essential but the immediate threat is the bradycardia/hypotension. | c — Warming treats hypothermia, a supportive measure, not the first priority. | d — Fluids alone do not correct symptomatic bradycardia.</w:t>
      </w:r>
    </w:p>
    <w:p>
      <w:pPr>
        <w:spacing w:after="20" w:before="0"/>
      </w:pPr>
      <w:r>
        <w:rPr>
          <w:b/>
          <w:color w:val="B45F06"/>
        </w:rPr>
        <w:t xml:space="preserve">⚠️ Exam Trap: </w:t>
      </w:r>
      <w:r>
        <w:t>ABCDE priority — cardiac rhythm (bradycardia) precedes definitive thyroid therapy.</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Myxedema crisis: atropine for symptomatic bradycardia + thyroid hormone + supportive care.</w:t>
      </w:r>
    </w:p>
    <w:p>
      <w:pPr>
        <w:spacing w:after="0" w:before="0"/>
      </w:pPr>
      <w:r>
        <w:rPr>
          <w:b/>
          <w:i w:val="0"/>
          <w:sz w:val="21"/>
        </w:rPr>
        <w:t>Positive Marks: 1    Negative Marks: 0.25</w:t>
      </w:r>
    </w:p>
    <w:p>
      <w:pPr>
        <w:spacing w:before="280" w:after="40"/>
      </w:pPr>
      <w:r>
        <w:rPr>
          <w:b/>
        </w:rPr>
        <w:t xml:space="preserve">Question: </w:t>
      </w:r>
      <w:r>
        <w:t>A pt on chemotherapy develops hyperkalemia, hyperphosphatemia, hypocalcemia, increased uric acid level. What will be the likely diagnosis?</w:t>
      </w:r>
    </w:p>
    <w:p>
      <w:pPr>
        <w:spacing w:after="20" w:before="0"/>
      </w:pPr>
      <w:r>
        <w:rPr>
          <w:b w:val="0"/>
          <w:i w:val="0"/>
          <w:sz w:val="21"/>
        </w:rPr>
        <w:t>(a)  Tumor lysis syndrome</w:t>
      </w:r>
    </w:p>
    <w:p>
      <w:pPr>
        <w:spacing w:after="20" w:before="0"/>
      </w:pPr>
      <w:r>
        <w:rPr>
          <w:b w:val="0"/>
          <w:i w:val="0"/>
          <w:sz w:val="21"/>
        </w:rPr>
        <w:t>(b)  Hypocalcemia of malignancy</w:t>
      </w:r>
    </w:p>
    <w:p>
      <w:pPr>
        <w:spacing w:after="20" w:before="0"/>
      </w:pPr>
      <w:r>
        <w:rPr>
          <w:b w:val="0"/>
          <w:i w:val="0"/>
          <w:sz w:val="21"/>
        </w:rPr>
        <w:t>(c)  Acute kidney injury</w:t>
      </w:r>
    </w:p>
    <w:p>
      <w:pPr>
        <w:spacing w:after="20" w:before="0"/>
      </w:pPr>
      <w:r>
        <w:rPr>
          <w:b w:val="0"/>
          <w:i w:val="0"/>
          <w:sz w:val="21"/>
        </w:rPr>
        <w:t>(d)  SIADH</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TUMOR LYSIS SYNDROME occurs when chemotherapy rapidly destroys tumour cells, releasing intracellular contents — producing the classic tetrad of hyperkalemia, hyperphosphatemia, hypocalcemia (from phosphate binding calcium) and hyperuricemia, which can precipitate acute kidney injury. It is most common in high-grade lymphomas/leukemias shortly after starting chemo.</w:t>
      </w:r>
    </w:p>
    <w:p>
      <w:pPr>
        <w:spacing w:after="20" w:before="0"/>
      </w:pPr>
      <w:r>
        <w:rPr>
          <w:b/>
        </w:rPr>
        <w:t xml:space="preserve">🔍 Key Clues: </w:t>
      </w:r>
      <w:r>
        <w:t>Post-chemotherapy: ↑K⁺ + ↑PO4 + ↓Ca + ↑uric acid = tumor lysis syndrome.</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Hypocalcemia is a single component, not the full picture — the potassium, phosphate and uric acid elevations point to lysis. | c — AKI can follow TLS but is a complication, not the primary diagnosis with this electrolyte pattern. | d — SIADH causes hyponatremia with euvolemia — no hyperkalemia/hyperuricemia.</w:t>
      </w:r>
    </w:p>
    <w:p>
      <w:pPr>
        <w:spacing w:after="20" w:before="0"/>
      </w:pPr>
      <w:r>
        <w:rPr>
          <w:b/>
          <w:color w:val="B45F06"/>
        </w:rPr>
        <w:t xml:space="preserve">⚠️ Exam Trap: </w:t>
      </w:r>
      <w:r>
        <w:t>TLS = the 4 metabolic derangements together; prevention = hydration + allopurinol/rasburicase.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Tumor lysis: ↑K, ↑PO4, ↓Ca, ↑uric acid → hydrate + allopurinol.</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