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child has been diagnosed with celiac disease. Which of the following statements requires further teaching?</w:t>
      </w:r>
    </w:p>
    <w:p>
      <w:pPr>
        <w:spacing w:after="20" w:before="0"/>
      </w:pPr>
      <w:r>
        <w:rPr>
          <w:b w:val="0"/>
          <w:i w:val="0"/>
          <w:sz w:val="21"/>
        </w:rPr>
        <w:t>(a)  Hydrolysed vegetables can be given</w:t>
      </w:r>
    </w:p>
    <w:p>
      <w:pPr>
        <w:spacing w:after="20" w:before="0"/>
      </w:pPr>
      <w:r>
        <w:rPr>
          <w:b w:val="0"/>
          <w:i w:val="0"/>
          <w:sz w:val="21"/>
        </w:rPr>
        <w:t>(b)  Milk products of all types should be avoided</w:t>
      </w:r>
    </w:p>
    <w:p>
      <w:pPr>
        <w:spacing w:after="20" w:before="0"/>
      </w:pPr>
      <w:r>
        <w:rPr>
          <w:b w:val="0"/>
          <w:i w:val="0"/>
          <w:sz w:val="21"/>
        </w:rPr>
        <w:t>(c)  Wheat should be avoided</w:t>
      </w:r>
    </w:p>
    <w:p>
      <w:pPr>
        <w:spacing w:after="20" w:before="0"/>
      </w:pPr>
      <w:r>
        <w:rPr>
          <w:b w:val="0"/>
          <w:i w:val="0"/>
          <w:sz w:val="21"/>
        </w:rPr>
        <w:t>(d)  Lactogen-free diet is used initially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Celiac disease requires a GLUTEN-FREE diet — wheat, barley and rye are avoided, while rice and corn are safe. Milk products are NOT contraindicated (only children with secondary lactose intolerance may need temporary lactose restriction). Saying 'all types of milk products should be avoided' shows a misunderstanding, so this statement needs further teaching.</w:t>
      </w:r>
    </w:p>
    <w:p>
      <w:pPr>
        <w:spacing w:after="20" w:before="0"/>
      </w:pPr>
      <w:r>
        <w:rPr>
          <w:b/>
        </w:rPr>
        <w:t xml:space="preserve">🔍 Key Clues: </w:t>
      </w:r>
      <w:r>
        <w:t>Celiac = gluten-free (avoid wheat/barley/rye); milk products are generally allowed.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Hydrolysed/gluten-free foods can be given — a correct statement. | c — Wheat (gluten) must be avoided — correct teaching. | d — A lactose-free/gluten-free starter diet is used initially — correct.</w:t>
      </w:r>
    </w:p>
    <w:p>
      <w:pPr>
        <w:spacing w:after="20" w:before="0"/>
      </w:pPr>
      <w:r>
        <w:rPr>
          <w:b/>
          <w:color w:val="B45F06"/>
        </w:rPr>
        <w:t xml:space="preserve">⚠️ Exam Trap: </w:t>
      </w:r>
      <w:r>
        <w:t>Celiac is NOT a milk-protein allergy — lactose restriction is only temporary if lactase is deficient.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Celiac diet: no gluten (wheat, barley, rye); rice, corn, milk OK.</w:t>
      </w:r>
    </w:p>
    <w:p>
      <w:pPr>
        <w:spacing w:after="0" w:before="0"/>
      </w:pPr>
      <w:r>
        <w:rPr>
          <w:b/>
          <w:i w:val="0"/>
          <w:sz w:val="21"/>
        </w:rPr>
        <w:t>Positive Marks: 1    Negative Marks: 0.25</w:t>
      </w:r>
    </w:p>
    <w:p>
      <w:pPr>
        <w:spacing w:before="280" w:after="40"/>
      </w:pPr>
      <w:r>
        <w:rPr>
          <w:b/>
        </w:rPr>
        <w:t xml:space="preserve">Question: </w:t>
      </w:r>
      <w:r>
        <w:t>A female has been presented in emergency with painless vaginal bleeding. Two days prior she had undergone normal vaginal delivery. What will be the possible cause for the bleeding?</w:t>
      </w:r>
    </w:p>
    <w:p>
      <w:pPr>
        <w:spacing w:after="20" w:before="0"/>
      </w:pPr>
      <w:r>
        <w:rPr>
          <w:b w:val="0"/>
          <w:i w:val="0"/>
          <w:sz w:val="21"/>
        </w:rPr>
        <w:t>(a)  Subinvolution of uterus due to retained placental fragment</w:t>
      </w:r>
    </w:p>
    <w:p>
      <w:pPr>
        <w:spacing w:after="20" w:before="0"/>
      </w:pPr>
      <w:r>
        <w:rPr>
          <w:b w:val="0"/>
          <w:i w:val="0"/>
          <w:sz w:val="21"/>
        </w:rPr>
        <w:t>(b)  Primary PPH with coagulation issues</w:t>
      </w:r>
    </w:p>
    <w:p>
      <w:pPr>
        <w:spacing w:after="20" w:before="0"/>
      </w:pPr>
      <w:r>
        <w:rPr>
          <w:b w:val="0"/>
          <w:i w:val="0"/>
          <w:sz w:val="21"/>
        </w:rPr>
        <w:t>(c)  Uterine atony</w:t>
      </w:r>
    </w:p>
    <w:p>
      <w:pPr>
        <w:spacing w:after="20" w:before="0"/>
      </w:pPr>
      <w:r>
        <w:rPr>
          <w:b w:val="0"/>
          <w:i w:val="0"/>
          <w:sz w:val="21"/>
        </w:rPr>
        <w:t>(d)  Cervical laceration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Painless vaginal bleeding TWO DAYS after a normal delivery points to late/secondary postpartum haemorrhage — most commonly SUBINVOLUTION OF THE UTERUS due to a retained placental fragment (or infection). Primary PPH (within 24 h) is caused by atony, lacerations or coagulation defects; those do not present after 48 hours as the main cause here.</w:t>
      </w:r>
    </w:p>
    <w:p>
      <w:pPr>
        <w:spacing w:after="20" w:before="0"/>
      </w:pPr>
      <w:r>
        <w:rPr>
          <w:b/>
        </w:rPr>
        <w:t xml:space="preserve">🔍 Key Clues: </w:t>
      </w:r>
      <w:r>
        <w:t>Bleeding 2 days after delivery = secondary PPH → retained placental fragment → subinvolution.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Coagulation issues cause primary PPH in the first 24 hours, not day-2 painless bleeding. | c — Uterine atony causes immediate primary PPH, usually with a boggy fundus. | d — Cervical lacerations bleed at delivery, not days later.</w:t>
      </w:r>
    </w:p>
    <w:p>
      <w:pPr>
        <w:spacing w:after="20" w:before="0"/>
      </w:pPr>
      <w:r>
        <w:rPr>
          <w:b/>
          <w:color w:val="B45F06"/>
        </w:rPr>
        <w:t xml:space="preserve">⚠️ Exam Trap: </w:t>
      </w:r>
      <w:r>
        <w:t>Secondary/late PPH (24 h–6 weeks) = retained products or infection, unlike primary PPH.</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Late PPH → subinvolution from retained products → USG + antibiotics + evacuation.</w:t>
      </w:r>
    </w:p>
    <w:p>
      <w:pPr>
        <w:spacing w:after="0" w:before="0"/>
      </w:pPr>
      <w:r>
        <w:rPr>
          <w:b/>
          <w:i w:val="0"/>
          <w:sz w:val="21"/>
        </w:rPr>
        <w:t>Positive Marks: 1    Negative Marks: 0.25</w:t>
      </w:r>
    </w:p>
    <w:p>
      <w:pPr>
        <w:spacing w:before="280" w:after="40"/>
      </w:pPr>
      <w:r>
        <w:rPr>
          <w:b/>
        </w:rPr>
        <w:t xml:space="preserve">Question: </w:t>
      </w:r>
      <w:r>
        <w:t>A nursing officer observes pt gait, posture, personal hygiene before beginning history collection. This type of assessment is best classified as?</w:t>
      </w:r>
    </w:p>
    <w:p>
      <w:pPr>
        <w:spacing w:after="20" w:before="0"/>
      </w:pPr>
      <w:r>
        <w:rPr>
          <w:b w:val="0"/>
          <w:i w:val="0"/>
          <w:sz w:val="21"/>
        </w:rPr>
        <w:t>(a)  Systemic focused examination</w:t>
      </w:r>
    </w:p>
    <w:p>
      <w:pPr>
        <w:spacing w:after="20" w:before="0"/>
      </w:pPr>
      <w:r>
        <w:rPr>
          <w:b w:val="0"/>
          <w:i w:val="0"/>
          <w:sz w:val="21"/>
        </w:rPr>
        <w:t>(b)  Focused assessment</w:t>
      </w:r>
    </w:p>
    <w:p>
      <w:pPr>
        <w:spacing w:after="20" w:before="0"/>
      </w:pPr>
      <w:r>
        <w:rPr>
          <w:b w:val="0"/>
          <w:i w:val="0"/>
          <w:sz w:val="21"/>
        </w:rPr>
        <w:t>(c)  General examination</w:t>
      </w:r>
    </w:p>
    <w:p>
      <w:pPr>
        <w:spacing w:after="20" w:before="0"/>
      </w:pPr>
      <w:r>
        <w:rPr>
          <w:b w:val="0"/>
          <w:i w:val="0"/>
          <w:sz w:val="21"/>
        </w:rPr>
        <w:t>(d)  Detailed systemic examination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Observing gait, posture, personal hygiene and general appearance before taking the history is the GENERAL EXAMINATION (general survey) — the initial overall impression of the patient's health state. A focused/systemic examination targets a specific system or complaint, whereas the general survey is the first broad assessment in the nursing process.</w:t>
      </w:r>
    </w:p>
    <w:p>
      <w:pPr>
        <w:spacing w:after="20" w:before="0"/>
      </w:pPr>
      <w:r>
        <w:rPr>
          <w:b/>
        </w:rPr>
        <w:t xml:space="preserve">🔍 Key Clues: </w:t>
      </w:r>
      <w:r>
        <w:t>Gait + posture + hygiene + appearance = general survey/examination.</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Systemic focused examination targets one system (e.g., respiratory, cardiac). | b — Focused assessment addresses a specific current problem. | d — Detailed systemic examination is the full head-to-toe review, done after the general survey.</w:t>
      </w:r>
    </w:p>
    <w:p>
      <w:pPr>
        <w:spacing w:after="20" w:before="0"/>
      </w:pPr>
      <w:r>
        <w:rPr>
          <w:b/>
          <w:color w:val="B45F06"/>
        </w:rPr>
        <w:t xml:space="preserve">⚠️ Exam Trap: </w:t>
      </w:r>
      <w:r>
        <w:t>General survey comes FIRST (observation at a glance); focused/systemic examinations follow the history.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General survey: appearance, gait, posture, hygiene — the first assessment step.</w:t>
      </w:r>
    </w:p>
    <w:p>
      <w:pPr>
        <w:spacing w:after="0" w:before="0"/>
      </w:pPr>
      <w:r>
        <w:rPr>
          <w:b/>
          <w:i w:val="0"/>
          <w:sz w:val="21"/>
        </w:rPr>
        <w:t>Positive Marks: 1    Negative Marks: 0.25</w:t>
      </w:r>
    </w:p>
    <w:p>
      <w:pPr>
        <w:spacing w:before="280" w:after="40"/>
      </w:pPr>
      <w:r>
        <w:rPr>
          <w:b/>
        </w:rPr>
        <w:t xml:space="preserve">Question: </w:t>
      </w:r>
      <w:r>
        <w:t>What is the advantage of peritoneal dialysis?</w:t>
      </w:r>
    </w:p>
    <w:p>
      <w:pPr>
        <w:spacing w:after="20" w:before="0"/>
      </w:pPr>
      <w:r>
        <w:rPr>
          <w:b w:val="0"/>
          <w:i w:val="0"/>
          <w:sz w:val="21"/>
        </w:rPr>
        <w:t>(a)  Requires less aseptic technique</w:t>
      </w:r>
    </w:p>
    <w:p>
      <w:pPr>
        <w:spacing w:after="20" w:before="0"/>
      </w:pPr>
      <w:r>
        <w:rPr>
          <w:b w:val="0"/>
          <w:i w:val="0"/>
          <w:sz w:val="21"/>
        </w:rPr>
        <w:t>(b)  It can be performed at home without diet restriction</w:t>
      </w:r>
    </w:p>
    <w:p>
      <w:pPr>
        <w:spacing w:after="20" w:before="0"/>
      </w:pPr>
      <w:r>
        <w:rPr>
          <w:b w:val="0"/>
          <w:i w:val="0"/>
          <w:sz w:val="21"/>
        </w:rPr>
        <w:t>(c)  Dialysate is biodegradable</w:t>
      </w:r>
    </w:p>
    <w:p>
      <w:pPr>
        <w:spacing w:after="20" w:before="0"/>
      </w:pPr>
      <w:r>
        <w:rPr>
          <w:b w:val="0"/>
          <w:i w:val="0"/>
          <w:sz w:val="21"/>
        </w:rPr>
        <w:t>(d)  More effective than hemodialysis and removes drugs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main advantage of PERITONEAL DIALYSIS is that it can be performed AT HOME by the patient/family after training, with fewer dietary restrictions than hemodialysis. It does require strict aseptic technique (peritonitis risk), the dialysate is not 'biodegradable' in the clinical sense, and hemodialysis is more efficient at solute clearance per session.</w:t>
      </w:r>
    </w:p>
    <w:p>
      <w:pPr>
        <w:spacing w:after="20" w:before="0"/>
      </w:pPr>
      <w:r>
        <w:rPr>
          <w:b/>
        </w:rPr>
        <w:t xml:space="preserve">🔍 Key Clues: </w:t>
      </w:r>
      <w:r>
        <w:t>PD = home-based dialysis with fewer dietary restrictions — the key advantage.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PD requires STRICT aseptic technique to prevent peritonitis — not less. | c — Dialysate is a manufactured fluid; 'biodegradable' is not its recognised advantage. | d — Hemodialysis is more efficient; PD is chosen for convenience and hemodynamic stability.</w:t>
      </w:r>
    </w:p>
    <w:p>
      <w:pPr>
        <w:spacing w:after="20" w:before="0"/>
      </w:pPr>
      <w:r>
        <w:rPr>
          <w:b/>
          <w:color w:val="B45F06"/>
        </w:rPr>
        <w:t xml:space="preserve">⚠️ Exam Trap: </w:t>
      </w:r>
      <w:r>
        <w:t>'Less aseptic technique' is a dangerous distractor — PD demands meticulous asepsis.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Peritoneal dialysis: home-based, gentle, fewer diet restrictions.</w:t>
      </w:r>
    </w:p>
    <w:p>
      <w:pPr>
        <w:spacing w:after="0" w:before="0"/>
      </w:pPr>
      <w:r>
        <w:rPr>
          <w:b/>
          <w:i w:val="0"/>
          <w:sz w:val="21"/>
        </w:rPr>
        <w:t>Positive Marks: 1    Negative Marks: 0.25</w:t>
      </w:r>
    </w:p>
    <w:p>
      <w:pPr>
        <w:spacing w:before="280" w:after="40"/>
      </w:pPr>
      <w:r>
        <w:rPr>
          <w:b/>
        </w:rPr>
        <w:t xml:space="preserve">Question: </w:t>
      </w:r>
      <w:r>
        <w:t>A nurse is teaching a mother about kick count. Which statement made by the mother required further teaching?</w:t>
      </w:r>
    </w:p>
    <w:p>
      <w:pPr>
        <w:spacing w:after="20" w:before="0"/>
      </w:pPr>
      <w:r>
        <w:rPr>
          <w:b w:val="0"/>
          <w:i w:val="0"/>
          <w:sz w:val="21"/>
        </w:rPr>
        <w:t>(a)  I will count the number of kicks while lying supine</w:t>
      </w:r>
    </w:p>
    <w:p>
      <w:pPr>
        <w:spacing w:after="20" w:before="0"/>
      </w:pPr>
      <w:r>
        <w:rPr>
          <w:b w:val="0"/>
          <w:i w:val="0"/>
          <w:sz w:val="21"/>
        </w:rPr>
        <w:t>(b)  I can count the number of kicks by placing the hand on abdomen</w:t>
      </w:r>
    </w:p>
    <w:p>
      <w:pPr>
        <w:spacing w:after="20" w:before="0"/>
      </w:pPr>
      <w:r>
        <w:rPr>
          <w:b w:val="0"/>
          <w:i w:val="0"/>
          <w:sz w:val="21"/>
        </w:rPr>
        <w:t>(c)  If less than 10 kicks in 2 hours, I will check again in 2 hours</w:t>
      </w:r>
    </w:p>
    <w:p>
      <w:pPr>
        <w:spacing w:after="20" w:before="0"/>
      </w:pPr>
      <w:r>
        <w:rPr>
          <w:b w:val="0"/>
          <w:i w:val="0"/>
          <w:sz w:val="21"/>
        </w:rPr>
        <w:t>(d)  I will count kicks at the same time every day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correct teaching is that fewer than 10 fetal movements in 2 hours is a WARNING — the mother should contact her healthcare provider immediately, not simply 'check again in 2 hours'. Counting while lying supine with the hand on the abdomen at a consistent time of day (options a, b, d) are all correct techniques.</w:t>
      </w:r>
    </w:p>
    <w:p>
      <w:pPr>
        <w:spacing w:after="20" w:before="0"/>
      </w:pPr>
      <w:r>
        <w:rPr>
          <w:b/>
        </w:rPr>
        <w:t xml:space="preserve">🔍 Key Clues: </w:t>
      </w:r>
      <w:r>
        <w:t>&lt;10 kicks in 2 hours = report to the provider, NOT delay by re-checking.</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Counting lying down (preferably left lateral) is correct technique. | b — Placing the hand on the abdomen to feel movements is correct. | d — Counting at the same time daily (after meals, when the baby is active) is recommended.</w:t>
      </w:r>
    </w:p>
    <w:p>
      <w:pPr>
        <w:spacing w:after="20" w:before="0"/>
      </w:pPr>
      <w:r>
        <w:rPr>
          <w:b/>
          <w:color w:val="B45F06"/>
        </w:rPr>
        <w:t xml:space="preserve">⚠️ Exam Trap: </w:t>
      </w:r>
      <w:r>
        <w:t>Re-checking instead of reporting wastes valuable time — diminished movements need prompt evaluation.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Kick count &lt;10 in 2 hours → inform the doctor immediately.</w:t>
      </w:r>
    </w:p>
    <w:p>
      <w:pPr>
        <w:spacing w:after="0" w:before="0"/>
      </w:pPr>
      <w:r>
        <w:rPr>
          <w:b/>
          <w:i w:val="0"/>
          <w:sz w:val="21"/>
        </w:rPr>
        <w:t>Positive Marks: 1    Negative Marks: 0.25</w:t>
      </w:r>
    </w:p>
    <w:p>
      <w:pPr>
        <w:spacing w:before="280" w:after="40"/>
      </w:pPr>
      <w:r>
        <w:rPr>
          <w:b/>
        </w:rPr>
        <w:t xml:space="preserve">Question: </w:t>
      </w:r>
      <w:r>
        <w:t>A nurse observes late decelerations on the fetal heart rate monitor. What is the most appropriate initial action?</w:t>
      </w:r>
    </w:p>
    <w:p>
      <w:pPr>
        <w:spacing w:after="20" w:before="0"/>
      </w:pPr>
      <w:r>
        <w:rPr>
          <w:b w:val="0"/>
          <w:i w:val="0"/>
          <w:sz w:val="21"/>
        </w:rPr>
        <w:t>(a)  Reposition the mother to her left side</w:t>
      </w:r>
    </w:p>
    <w:p>
      <w:pPr>
        <w:spacing w:after="20" w:before="0"/>
      </w:pPr>
      <w:r>
        <w:rPr>
          <w:b w:val="0"/>
          <w:i w:val="0"/>
          <w:sz w:val="21"/>
        </w:rPr>
        <w:t>(b)  Administer oxygen via face mask 10 L/min</w:t>
      </w:r>
    </w:p>
    <w:p>
      <w:pPr>
        <w:spacing w:after="20" w:before="0"/>
      </w:pPr>
      <w:r>
        <w:rPr>
          <w:b w:val="0"/>
          <w:i w:val="0"/>
          <w:sz w:val="21"/>
        </w:rPr>
        <w:t>(c)  Increase intravenous fluid rate</w:t>
      </w:r>
    </w:p>
    <w:p>
      <w:pPr>
        <w:spacing w:after="20" w:before="0"/>
      </w:pPr>
      <w:r>
        <w:rPr>
          <w:b w:val="0"/>
          <w:i w:val="0"/>
          <w:sz w:val="21"/>
        </w:rPr>
        <w:t>(d)  Notify the healthcare provider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LATE decelerations indicate uteroplacental insufficiency. The FIRST action is to REPOSITION THE MOTHER TO THE LEFT SIDE — this relieves aortocaval compression, improves uterine blood flow and often corrects the decelerations. Oxygen, IV fluids and notifying the provider follow as secondary steps.</w:t>
      </w:r>
    </w:p>
    <w:p>
      <w:pPr>
        <w:spacing w:after="20" w:before="0"/>
      </w:pPr>
      <w:r>
        <w:rPr>
          <w:b/>
        </w:rPr>
        <w:t xml:space="preserve">🔍 Key Clues: </w:t>
      </w:r>
      <w:r>
        <w:t>Late decelerations = uteroplacental insufficiency → left lateral position first.</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Oxygen is given after repositioning, as part of the standard sequence. | c — Fluid bolus follows repositioning if the pattern persists. | d — Notifying the provider is important but comes after the immediate positional intervention.</w:t>
      </w:r>
    </w:p>
    <w:p>
      <w:pPr>
        <w:spacing w:after="20" w:before="0"/>
      </w:pPr>
      <w:r>
        <w:rPr>
          <w:b/>
          <w:color w:val="B45F06"/>
        </w:rPr>
        <w:t xml:space="preserve">⚠️ Exam Trap: </w:t>
      </w:r>
      <w:r>
        <w:t>The classic order: reposition → O2 → fluids → notify; the stem asks for the INITIAL action.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Late decels → left side first, then O2, fluids, notify.</w:t>
      </w:r>
    </w:p>
    <w:p>
      <w:pPr>
        <w:spacing w:after="0" w:before="0"/>
      </w:pPr>
      <w:r>
        <w:rPr>
          <w:b/>
          <w:i w:val="0"/>
          <w:sz w:val="21"/>
        </w:rPr>
        <w:t>Positive Marks: 1    Negative Marks: 0.25</w:t>
      </w:r>
    </w:p>
    <w:p>
      <w:pPr>
        <w:spacing w:before="280" w:after="40"/>
      </w:pPr>
      <w:r>
        <w:rPr>
          <w:b/>
        </w:rPr>
        <w:t xml:space="preserve">Question: </w:t>
      </w:r>
      <w:r>
        <w:t>A client who is gravida 1, para 0 is admitted in labor. Her Bishop score shows cervix is 70% effaced, and she is dilated to 8 cm. The fetal head is at +1 station. What does this mean?</w:t>
      </w:r>
    </w:p>
    <w:p>
      <w:pPr>
        <w:spacing w:after="20" w:before="0"/>
      </w:pPr>
      <w:r>
        <w:rPr>
          <w:b w:val="0"/>
          <w:i w:val="0"/>
          <w:sz w:val="21"/>
        </w:rPr>
        <w:t>(a)  1 cm above ischial spine</w:t>
      </w:r>
    </w:p>
    <w:p>
      <w:pPr>
        <w:spacing w:after="20" w:before="0"/>
      </w:pPr>
      <w:r>
        <w:rPr>
          <w:b w:val="0"/>
          <w:i w:val="0"/>
          <w:sz w:val="21"/>
        </w:rPr>
        <w:t>(b)  1 cm below pelvis</w:t>
      </w:r>
    </w:p>
    <w:p>
      <w:pPr>
        <w:spacing w:after="20" w:before="0"/>
      </w:pPr>
      <w:r>
        <w:rPr>
          <w:b w:val="0"/>
          <w:i w:val="0"/>
          <w:sz w:val="21"/>
        </w:rPr>
        <w:t>(c)  1 cm above pelvis</w:t>
      </w:r>
    </w:p>
    <w:p>
      <w:pPr>
        <w:spacing w:after="20" w:before="0"/>
      </w:pPr>
      <w:r>
        <w:rPr>
          <w:b w:val="0"/>
          <w:i w:val="0"/>
          <w:sz w:val="21"/>
        </w:rPr>
        <w:t>(d)  1 cm below ischial spine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Fetal station describes the presenting part's descent relative to the ISCHIAL SPINES (zero station). POSITIVE stations mean the presenting part is BELOW the ischial spines — +1 station = 1 cm BELOW the level of the ischial spines. Negative stations (−1, −2) indicate the head is above the spines.</w:t>
      </w:r>
    </w:p>
    <w:p>
      <w:pPr>
        <w:spacing w:after="20" w:before="0"/>
      </w:pPr>
      <w:r>
        <w:rPr>
          <w:b/>
        </w:rPr>
        <w:t xml:space="preserve">🔍 Key Clues: </w:t>
      </w:r>
      <w:r>
        <w:t>+1 station = 1 cm below the ischial spines; −1 = 1 cm above.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1 cm above the ischial spine would be −1 station. | b — 'Below pelvis' is vague; the reference point is the ischial spines. | c — 1 cm above the pelvis is not how station is described.</w:t>
      </w:r>
    </w:p>
    <w:p>
      <w:pPr>
        <w:spacing w:after="20" w:before="0"/>
      </w:pPr>
      <w:r>
        <w:rPr>
          <w:b/>
          <w:color w:val="B45F06"/>
        </w:rPr>
        <w:t xml:space="preserve">⚠️ Exam Trap: </w:t>
      </w:r>
      <w:r>
        <w:t>Station is measured against the ISCHIAL SPINES: + = below (engaged), − = above.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Station +1 = presenting part 1 cm below ischial spines.</w:t>
      </w:r>
    </w:p>
    <w:p>
      <w:pPr>
        <w:spacing w:after="0" w:before="0"/>
      </w:pPr>
      <w:r>
        <w:rPr>
          <w:b/>
          <w:i w:val="0"/>
          <w:sz w:val="21"/>
        </w:rPr>
        <w:t>Positive Marks: 1    Negative Marks: 0.25</w:t>
      </w:r>
    </w:p>
    <w:p>
      <w:pPr>
        <w:spacing w:before="280" w:after="40"/>
      </w:pPr>
      <w:r>
        <w:rPr>
          <w:b/>
        </w:rPr>
        <w:t xml:space="preserve">Question: </w:t>
      </w:r>
      <w:r>
        <w:t>The protection period provided by Cu-T 380A is?</w:t>
      </w:r>
    </w:p>
    <w:p>
      <w:pPr>
        <w:spacing w:after="20" w:before="0"/>
      </w:pPr>
      <w:r>
        <w:rPr>
          <w:b w:val="0"/>
          <w:i w:val="0"/>
          <w:sz w:val="21"/>
        </w:rPr>
        <w:t>(a)  10 years</w:t>
      </w:r>
    </w:p>
    <w:p>
      <w:pPr>
        <w:spacing w:after="20" w:before="0"/>
      </w:pPr>
      <w:r>
        <w:rPr>
          <w:b w:val="0"/>
          <w:i w:val="0"/>
          <w:sz w:val="21"/>
        </w:rPr>
        <w:t>(b)  20 years</w:t>
      </w:r>
    </w:p>
    <w:p>
      <w:pPr>
        <w:spacing w:after="20" w:before="0"/>
      </w:pPr>
      <w:r>
        <w:rPr>
          <w:b w:val="0"/>
          <w:i w:val="0"/>
          <w:sz w:val="21"/>
        </w:rPr>
        <w:t>(c)  15 years</w:t>
      </w:r>
    </w:p>
    <w:p>
      <w:pPr>
        <w:spacing w:after="20" w:before="0"/>
      </w:pPr>
      <w:r>
        <w:rPr>
          <w:b w:val="0"/>
          <w:i w:val="0"/>
          <w:sz w:val="21"/>
        </w:rPr>
        <w:t>(d)  5 years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Cu-T 380A provides contraception for 10 YEARS — the longest duration among the copper IUDs. It is the preferred IUD in national family-planning programmes because one insertion offers a decade of highly effective, reversible protection.</w:t>
      </w:r>
    </w:p>
    <w:p>
      <w:pPr>
        <w:spacing w:after="20" w:before="0"/>
      </w:pPr>
      <w:r>
        <w:rPr>
          <w:b/>
        </w:rPr>
        <w:t xml:space="preserve">🔍 Key Clues: </w:t>
      </w:r>
      <w:r>
        <w:t>Cu-T380A = 10-year protection (copper content 380 mm²).</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20 years is not the approved duration for any IUD. | c — 15 years exceeds even the Cu-T380A duration. | d — 5 years is sometimes quoted for hormonal intrauterine systems like LNG-IUS (actually 5–8 years) — not Cu-T380A.</w:t>
      </w:r>
    </w:p>
    <w:p>
      <w:pPr>
        <w:spacing w:after="20" w:before="0"/>
      </w:pPr>
      <w:r>
        <w:rPr>
          <w:b/>
          <w:color w:val="B45F06"/>
        </w:rPr>
        <w:t xml:space="preserve">⚠️ Exam Trap: </w:t>
      </w:r>
      <w:r>
        <w:t>Copper IUD 380A = 10 years; do not confuse with the LNG-IUS (5 years).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Cu-T380A: 10 years of protection.</w:t>
      </w:r>
    </w:p>
    <w:p>
      <w:pPr>
        <w:spacing w:after="0" w:before="0"/>
      </w:pPr>
      <w:r>
        <w:rPr>
          <w:b/>
          <w:i w:val="0"/>
          <w:sz w:val="21"/>
        </w:rPr>
        <w:t>Positive Marks: 1    Negative Marks: 0.25</w:t>
      </w:r>
    </w:p>
    <w:p>
      <w:pPr>
        <w:spacing w:before="280" w:after="40"/>
      </w:pPr>
      <w:r>
        <w:rPr>
          <w:b/>
        </w:rPr>
        <w:t xml:space="preserve">Question: </w:t>
      </w:r>
      <w:r>
        <w:t>PDSA stands for??</w:t>
      </w:r>
    </w:p>
    <w:p>
      <w:pPr>
        <w:spacing w:after="20" w:before="0"/>
      </w:pPr>
      <w:r>
        <w:rPr>
          <w:b w:val="0"/>
          <w:i w:val="0"/>
          <w:sz w:val="21"/>
        </w:rPr>
        <w:t>(a)  Plan, do, study, act</w:t>
      </w:r>
    </w:p>
    <w:p>
      <w:pPr>
        <w:spacing w:after="20" w:before="0"/>
      </w:pPr>
      <w:r>
        <w:rPr>
          <w:b w:val="0"/>
          <w:i w:val="0"/>
          <w:sz w:val="21"/>
        </w:rPr>
        <w:t>(b)  Plan, define, simplify, act</w:t>
      </w:r>
    </w:p>
    <w:p>
      <w:pPr>
        <w:spacing w:after="20" w:before="0"/>
      </w:pPr>
      <w:r>
        <w:rPr>
          <w:b w:val="0"/>
          <w:i w:val="0"/>
          <w:sz w:val="21"/>
        </w:rPr>
        <w:t>(c)  Plan, define, simplify, assume</w:t>
      </w:r>
    </w:p>
    <w:p>
      <w:pPr>
        <w:spacing w:after="20" w:before="0"/>
      </w:pPr>
      <w:r>
        <w:rPr>
          <w:b w:val="0"/>
          <w:i w:val="0"/>
          <w:sz w:val="21"/>
        </w:rPr>
        <w:t>(d)  Perform, due, simplify, act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PDSA (Plan-Do-Study-Act) is the quality-improvement cycle popularised by Deming — PLAN the change, DO it on a small scale, STUDY the results, then ACT to adopt/abandon/revise. It is the continuous improvement model used in nursing quality assurance.</w:t>
      </w:r>
    </w:p>
    <w:p>
      <w:pPr>
        <w:spacing w:after="20" w:before="0"/>
      </w:pPr>
      <w:r>
        <w:rPr>
          <w:b/>
        </w:rPr>
        <w:t xml:space="preserve">🔍 Key Clues: </w:t>
      </w:r>
      <w:r>
        <w:t>PDSA = Plan, Do, Study, Act (Deming's improvement cycle).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'Define/simplify' are not part of PDSA. | c — Not PDSA terminology. | d — Not PDSA terminology.</w:t>
      </w:r>
    </w:p>
    <w:p>
      <w:pPr>
        <w:spacing w:after="20" w:before="0"/>
      </w:pPr>
      <w:r>
        <w:rPr>
          <w:b/>
          <w:color w:val="B45F06"/>
        </w:rPr>
        <w:t xml:space="preserve">⚠️ Exam Trap: </w:t>
      </w:r>
      <w:r>
        <w:t>PDSA is often confused with FOCUS-PDCA — memorise the four words in order.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PDSA = Plan → Do → Study → Act.</w:t>
      </w:r>
    </w:p>
    <w:p>
      <w:pPr>
        <w:spacing w:after="0" w:before="0"/>
      </w:pPr>
      <w:r>
        <w:rPr>
          <w:b/>
          <w:i w:val="0"/>
          <w:sz w:val="21"/>
        </w:rPr>
        <w:t>Positive Marks: 1    Negative Marks: 0.25</w:t>
      </w:r>
    </w:p>
    <w:p>
      <w:pPr>
        <w:spacing w:before="280" w:after="40"/>
      </w:pPr>
      <w:r>
        <w:rPr>
          <w:b/>
        </w:rPr>
        <w:t xml:space="preserve">Question: </w:t>
      </w:r>
      <w:r>
        <w:t>Which one of the following is not a graphic representation of the data?</w:t>
      </w:r>
    </w:p>
    <w:p>
      <w:pPr>
        <w:spacing w:after="20" w:before="0"/>
      </w:pPr>
      <w:r>
        <w:rPr>
          <w:b w:val="0"/>
          <w:i w:val="0"/>
          <w:sz w:val="21"/>
        </w:rPr>
        <w:t>(a)  Histogram</w:t>
      </w:r>
    </w:p>
    <w:p>
      <w:pPr>
        <w:spacing w:after="20" w:before="0"/>
      </w:pPr>
      <w:r>
        <w:rPr>
          <w:b w:val="0"/>
          <w:i w:val="0"/>
          <w:sz w:val="21"/>
        </w:rPr>
        <w:t>(b)  Bar Chart</w:t>
      </w:r>
    </w:p>
    <w:p>
      <w:pPr>
        <w:spacing w:after="20" w:before="0"/>
      </w:pPr>
      <w:r>
        <w:rPr>
          <w:b w:val="0"/>
          <w:i w:val="0"/>
          <w:sz w:val="21"/>
        </w:rPr>
        <w:t>(c)  Pie Chart</w:t>
      </w:r>
    </w:p>
    <w:p>
      <w:pPr>
        <w:spacing w:after="20" w:before="0"/>
      </w:pPr>
      <w:r>
        <w:rPr>
          <w:b w:val="0"/>
          <w:i w:val="0"/>
          <w:sz w:val="21"/>
        </w:rPr>
        <w:t>(d)  Stem and leaf</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Histogram, bar chart and pie chart are classic GRAPHIC (pictorial) representations of data. A STEM-AND-LEAF display is a semi-tabular/graphical device — it retains the actual data values arranged like a histogram, and is often classified as a tabular rather than a purely graphic method, making it the intended answer for 'not a graphic representation'.</w:t>
      </w:r>
    </w:p>
    <w:p>
      <w:pPr>
        <w:spacing w:after="20" w:before="0"/>
      </w:pPr>
      <w:r>
        <w:rPr>
          <w:b/>
        </w:rPr>
        <w:t xml:space="preserve">🔍 Key Clues: </w:t>
      </w:r>
      <w:r>
        <w:t>Pie, bar, histogram = pictorial graphs; stem-and-leaf = value-retaining display.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Histogram is a graphic representation of frequency distribution. | b — Bar chart is a graphic comparison of categories. | c — Pie chart is a graphic of proportions.</w:t>
      </w:r>
    </w:p>
    <w:p>
      <w:pPr>
        <w:spacing w:after="20" w:before="0"/>
      </w:pPr>
      <w:r>
        <w:rPr>
          <w:b/>
          <w:color w:val="B45F06"/>
        </w:rPr>
        <w:t xml:space="preserve">⚠️ Exam Trap: </w:t>
      </w:r>
      <w:r>
        <w:t>All four are data-display tools; stem-and-leaf is the one that is semi-tabular rather than purely graphic.</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Graphic displays: histogram, bar, pie, line, scatter — stem-and-leaf is semi-tabular.</w:t>
      </w:r>
    </w:p>
    <w:p>
      <w:pPr>
        <w:spacing w:after="0" w:before="0"/>
      </w:pPr>
      <w:r>
        <w:rPr>
          <w:b/>
          <w:i w:val="0"/>
          <w:sz w:val="21"/>
        </w:rPr>
        <w:t>Positive Marks: 1    Negative Marks: 0.25</w:t>
      </w:r>
    </w:p>
    <w:p>
      <w:pPr>
        <w:spacing w:before="280" w:after="40"/>
      </w:pPr>
      <w:r>
        <w:rPr>
          <w:b/>
        </w:rPr>
        <w:t xml:space="preserve">Question: </w:t>
      </w:r>
      <w:r>
        <w:t>Severity of disease is assessed by which scale?</w:t>
      </w:r>
    </w:p>
    <w:p>
      <w:pPr>
        <w:spacing w:after="20" w:before="0"/>
      </w:pPr>
      <w:r>
        <w:rPr>
          <w:b w:val="0"/>
          <w:i w:val="0"/>
          <w:sz w:val="21"/>
        </w:rPr>
        <w:t>(a)  Case fatality rate</w:t>
      </w:r>
    </w:p>
    <w:p>
      <w:pPr>
        <w:spacing w:after="20" w:before="0"/>
      </w:pPr>
      <w:r>
        <w:rPr>
          <w:b w:val="0"/>
          <w:i w:val="0"/>
          <w:sz w:val="21"/>
        </w:rPr>
        <w:t>(b)  Incidence rate</w:t>
      </w:r>
    </w:p>
    <w:p>
      <w:pPr>
        <w:spacing w:after="20" w:before="0"/>
      </w:pPr>
      <w:r>
        <w:rPr>
          <w:b w:val="0"/>
          <w:i w:val="0"/>
          <w:sz w:val="21"/>
        </w:rPr>
        <w:t>(c)  Attack rate</w:t>
      </w:r>
    </w:p>
    <w:p>
      <w:pPr>
        <w:spacing w:after="20" w:before="0"/>
      </w:pPr>
      <w:r>
        <w:rPr>
          <w:b w:val="0"/>
          <w:i w:val="0"/>
          <w:sz w:val="21"/>
        </w:rPr>
        <w:t>(d)  Cause specific death rate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SEVERITY of a disease is measured by the CASE FATALITY RATE (CFR) — the proportion of persons with the disease who die from it (deaths ÷ cases × 100). Incidence and attack rates measure how frequently the disease occurs (frequency), and the cause-specific death rate measures mortality in the population, not the severity of a disease among its cases.</w:t>
      </w:r>
    </w:p>
    <w:p>
      <w:pPr>
        <w:spacing w:after="20" w:before="0"/>
      </w:pPr>
      <w:r>
        <w:rPr>
          <w:b/>
        </w:rPr>
        <w:t xml:space="preserve">🔍 Key Clues: </w:t>
      </w:r>
      <w:r>
        <w:t>Severity = CFR (deaths among cases); frequency = incidence/attack rates.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Incidence rate measures new cases over time — frequency, not severity. | c — Attack rate measures risk of acquiring illness in an exposed population. | d — Cause-specific death rate reflects population mortality, not disease severity among cases.</w:t>
      </w:r>
    </w:p>
    <w:p>
      <w:pPr>
        <w:spacing w:after="20" w:before="0"/>
      </w:pPr>
      <w:r>
        <w:rPr>
          <w:b/>
          <w:color w:val="B45F06"/>
        </w:rPr>
        <w:t xml:space="preserve">⚠️ Exam Trap: </w:t>
      </w:r>
      <w:r>
        <w:t>CFR answers 'how deadly is this disease for those who get it?' — the severity measure.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Severity → case fatality rate; frequency → incidence/attack rate.</w:t>
      </w:r>
    </w:p>
    <w:p>
      <w:pPr>
        <w:spacing w:after="0" w:before="0"/>
      </w:pPr>
      <w:r>
        <w:rPr>
          <w:b/>
          <w:i w:val="0"/>
          <w:sz w:val="21"/>
        </w:rPr>
        <w:t>Positive Marks: 1    Negative Marks: 0.25</w:t>
      </w:r>
    </w:p>
    <w:p>
      <w:pPr>
        <w:spacing w:before="280" w:after="40"/>
      </w:pPr>
      <w:r>
        <w:rPr>
          <w:b/>
        </w:rPr>
        <w:t xml:space="preserve">Question: </w:t>
      </w:r>
      <w:r>
        <w:t>A female undergoing NST for modified BPP. Which out of the following is the second component of BPP (Biophysical Profile)?</w:t>
      </w:r>
    </w:p>
    <w:p>
      <w:pPr>
        <w:spacing w:after="20" w:before="0"/>
      </w:pPr>
      <w:r>
        <w:rPr>
          <w:b w:val="0"/>
          <w:i w:val="0"/>
          <w:sz w:val="21"/>
        </w:rPr>
        <w:t>(a)  Perform CST</w:t>
      </w:r>
    </w:p>
    <w:p>
      <w:pPr>
        <w:spacing w:after="20" w:before="0"/>
      </w:pPr>
      <w:r>
        <w:rPr>
          <w:b w:val="0"/>
          <w:i w:val="0"/>
          <w:sz w:val="21"/>
        </w:rPr>
        <w:t>(b)  Amniotic fluid volume</w:t>
      </w:r>
    </w:p>
    <w:p>
      <w:pPr>
        <w:spacing w:after="20" w:before="0"/>
      </w:pPr>
      <w:r>
        <w:rPr>
          <w:b w:val="0"/>
          <w:i w:val="0"/>
          <w:sz w:val="21"/>
        </w:rPr>
        <w:t>(c)  Ultrasound of fetal tone</w:t>
      </w:r>
    </w:p>
    <w:p>
      <w:pPr>
        <w:spacing w:after="20" w:before="0"/>
      </w:pPr>
      <w:r>
        <w:rPr>
          <w:b w:val="0"/>
          <w:i w:val="0"/>
          <w:sz w:val="21"/>
        </w:rPr>
        <w:t>(d)  Ultrasound of fetal movement</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MODIFIED BIOPHYSICAL PROFILE consists of just two components: the NON-STRESS TEST (NST — first component) plus AMNIOTIC FLUID VOLUME (second component). The full BPP adds fetal tone, movement and breathing. Since the stem says the patient is undergoing NST for modified BPP, the SECOND component is amniotic fluid volume.</w:t>
      </w:r>
    </w:p>
    <w:p>
      <w:pPr>
        <w:spacing w:after="20" w:before="0"/>
      </w:pPr>
      <w:r>
        <w:rPr>
          <w:b/>
        </w:rPr>
        <w:t xml:space="preserve">🔍 Key Clues: </w:t>
      </w:r>
      <w:r>
        <w:t>Modified BPP = NST + amniotic fluid volume (2 components only).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CST is a contraction stress test — a separate antepartum test, not part of modified BPP. | c — Fetal tone is a component of the FULL 5-part BPP. | d — Fetal movement is also part of the full BPP, not the modified BPP.</w:t>
      </w:r>
    </w:p>
    <w:p>
      <w:pPr>
        <w:spacing w:after="20" w:before="0"/>
      </w:pPr>
      <w:r>
        <w:rPr>
          <w:b/>
          <w:color w:val="B45F06"/>
        </w:rPr>
        <w:t xml:space="preserve">⚠️ Exam Trap: </w:t>
      </w:r>
      <w:r>
        <w:t>Modified BPP (NST + AFV) vs full BPP (NST + AFV + movement + tone + breathing).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Modified BPP = NST + amniotic fluid index.</w:t>
      </w:r>
    </w:p>
    <w:p>
      <w:pPr>
        <w:spacing w:after="0" w:before="0"/>
      </w:pPr>
      <w:r>
        <w:rPr>
          <w:b/>
          <w:i w:val="0"/>
          <w:sz w:val="21"/>
        </w:rPr>
        <w:t>Positive Marks: 1    Negative Marks: 0.25</w:t>
      </w:r>
    </w:p>
    <w:p>
      <w:pPr>
        <w:spacing w:before="280" w:after="40"/>
      </w:pPr>
      <w:r>
        <w:rPr>
          <w:b/>
        </w:rPr>
        <w:t xml:space="preserve">Question: </w:t>
      </w:r>
      <w:r>
        <w:t>In diarrhea, what will be seen?</w:t>
      </w:r>
    </w:p>
    <w:p>
      <w:pPr>
        <w:spacing w:after="20" w:before="0"/>
      </w:pPr>
      <w:r>
        <w:rPr>
          <w:b w:val="0"/>
          <w:i w:val="0"/>
          <w:sz w:val="21"/>
        </w:rPr>
        <w:t>(a)  Metabolic acidosis</w:t>
      </w:r>
    </w:p>
    <w:p>
      <w:pPr>
        <w:spacing w:after="20" w:before="0"/>
      </w:pPr>
      <w:r>
        <w:rPr>
          <w:b w:val="0"/>
          <w:i w:val="0"/>
          <w:sz w:val="21"/>
        </w:rPr>
        <w:t>(b)  Metabolic alkalosis</w:t>
      </w:r>
    </w:p>
    <w:p>
      <w:pPr>
        <w:spacing w:after="20" w:before="0"/>
      </w:pPr>
      <w:r>
        <w:rPr>
          <w:b w:val="0"/>
          <w:i w:val="0"/>
          <w:sz w:val="21"/>
        </w:rPr>
        <w:t>(c)  Lactic acidosis</w:t>
      </w:r>
    </w:p>
    <w:p>
      <w:pPr>
        <w:spacing w:after="20" w:before="0"/>
      </w:pPr>
      <w:r>
        <w:rPr>
          <w:b w:val="0"/>
          <w:i w:val="0"/>
          <w:sz w:val="21"/>
        </w:rPr>
        <w:t>(d)  Ketoacidosis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Diarrhea causes massive loss of bicarbonate-rich intestinal fluid, producing METABOLIC ACIDOSIS (low pH, low HCO3, base deficit). This is why ORS and zinc are the cornerstones of diarrhoea management — correcting both dehydration and acidosis. Vomiting (not diarrhea) tends to cause metabolic alkalosis from HCl loss.</w:t>
      </w:r>
    </w:p>
    <w:p>
      <w:pPr>
        <w:spacing w:after="20" w:before="0"/>
      </w:pPr>
      <w:r>
        <w:rPr>
          <w:b/>
        </w:rPr>
        <w:t xml:space="preserve">🔍 Key Clues: </w:t>
      </w:r>
      <w:r>
        <w:t>Diarrhea = HCO3 loss → metabolic acidosis (classic pediatric association).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Metabolic alkalosis follows acid (HCl) loss — e.g., vomiting, not diarrhea. | c — Lactic acidosis follows tissue hypoxia/sepsis — not the primary picture in simple diarrhea. | d — Ketoacidosis occurs in DKA/starvation, not in diarrhea.</w:t>
      </w:r>
    </w:p>
    <w:p>
      <w:pPr>
        <w:spacing w:after="20" w:before="0"/>
      </w:pPr>
      <w:r>
        <w:rPr>
          <w:b/>
          <w:color w:val="B45F06"/>
        </w:rPr>
        <w:t xml:space="preserve">⚠️ Exam Trap: </w:t>
      </w:r>
      <w:r>
        <w:t>Diarrhea = loss of alkali (HCO3) → acidosis; vomiting = loss of acid → alkalosis.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Diarrhea → metabolic acidosis (bicarbonate loss in stool).</w:t>
      </w:r>
    </w:p>
    <w:p>
      <w:pPr>
        <w:spacing w:after="0" w:before="0"/>
      </w:pPr>
      <w:r>
        <w:rPr>
          <w:b/>
          <w:i w:val="0"/>
          <w:sz w:val="21"/>
        </w:rPr>
        <w:t>Positive Marks: 1    Negative Marks: 0.25</w:t>
      </w:r>
    </w:p>
    <w:p>
      <w:pPr>
        <w:spacing w:before="280" w:after="40"/>
      </w:pPr>
      <w:r>
        <w:rPr>
          <w:b/>
        </w:rPr>
        <w:t xml:space="preserve">Question: </w:t>
      </w:r>
      <w:r>
        <w:t>In bulimia nervosa, which electrolyte imbalance occurs?</w:t>
      </w:r>
    </w:p>
    <w:p>
      <w:pPr>
        <w:spacing w:after="20" w:before="0"/>
      </w:pPr>
      <w:r>
        <w:rPr>
          <w:b w:val="0"/>
          <w:i w:val="0"/>
          <w:sz w:val="21"/>
        </w:rPr>
        <w:t>(a)  Hyperkalemia</w:t>
      </w:r>
    </w:p>
    <w:p>
      <w:pPr>
        <w:spacing w:after="20" w:before="0"/>
      </w:pPr>
      <w:r>
        <w:rPr>
          <w:b w:val="0"/>
          <w:i w:val="0"/>
          <w:sz w:val="21"/>
        </w:rPr>
        <w:t>(b)  Hyponatremia</w:t>
      </w:r>
    </w:p>
    <w:p>
      <w:pPr>
        <w:spacing w:after="20" w:before="0"/>
      </w:pPr>
      <w:r>
        <w:rPr>
          <w:b w:val="0"/>
          <w:i w:val="0"/>
          <w:sz w:val="21"/>
        </w:rPr>
        <w:t>(c)  Hypokalemia</w:t>
      </w:r>
    </w:p>
    <w:p>
      <w:pPr>
        <w:spacing w:after="20" w:before="0"/>
      </w:pPr>
      <w:r>
        <w:rPr>
          <w:b w:val="0"/>
          <w:i w:val="0"/>
          <w:sz w:val="21"/>
        </w:rPr>
        <w:t>(d)  Hypercalcemia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BULIMIA NERVOSA — binge-purge behaviour with repeated self-induced vomiting — causes loss of gastric acid and potassium, producing HYPOKALEMIA (with metabolic alkalosis). Chronic purging can also cause hypochloremia and dehydration. Hypokalemia is the classic electrolyte imbalance tested in eating disorders.</w:t>
      </w:r>
    </w:p>
    <w:p>
      <w:pPr>
        <w:spacing w:after="20" w:before="0"/>
      </w:pPr>
      <w:r>
        <w:rPr>
          <w:b/>
        </w:rPr>
        <w:t xml:space="preserve">🔍 Key Clues: </w:t>
      </w:r>
      <w:r>
        <w:t>Vomiting/purging in bulimia → hypokalemia + metabolic alkalosis.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Hyperkalemia is not seen with vomiting — potassium is lost. | b — Hyponatremia is not the hallmark; sodium is usually preserved with purging. | d — Hypercalcemia is unrelated to bulimia.</w:t>
      </w:r>
    </w:p>
    <w:p>
      <w:pPr>
        <w:spacing w:after="20" w:before="0"/>
      </w:pPr>
      <w:r>
        <w:rPr>
          <w:b/>
          <w:color w:val="B45F06"/>
        </w:rPr>
        <w:t xml:space="preserve">⚠️ Exam Trap: </w:t>
      </w:r>
      <w:r>
        <w:t>Bulimia = ↓K (vomiting); the 'Russell's sign' (knuckle calluses) is another clue.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Bulimia → hypokalemia + metabolic alkalosis from purging.</w:t>
      </w:r>
    </w:p>
    <w:p>
      <w:pPr>
        <w:spacing w:after="0" w:before="0"/>
      </w:pPr>
      <w:r>
        <w:rPr>
          <w:b/>
          <w:i w:val="0"/>
          <w:sz w:val="21"/>
        </w:rPr>
        <w:t>Positive Marks: 1    Negative Marks: 0.25</w:t>
      </w:r>
    </w:p>
    <w:p>
      <w:pPr>
        <w:spacing w:before="280" w:after="40"/>
      </w:pPr>
      <w:r>
        <w:rPr>
          <w:b/>
        </w:rPr>
        <w:t xml:space="preserve">Question: </w:t>
      </w:r>
      <w:r>
        <w:t>A child presented to the school nurse with nose bleeding. What will be the appropriate management in epistaxis?</w:t>
      </w:r>
    </w:p>
    <w:p>
      <w:pPr>
        <w:spacing w:after="20" w:before="0"/>
      </w:pPr>
      <w:r>
        <w:rPr>
          <w:b w:val="0"/>
          <w:i w:val="0"/>
          <w:sz w:val="21"/>
        </w:rPr>
        <w:t>(a)  Sitting position lean forward with pressure over the nasal bridge</w:t>
      </w:r>
    </w:p>
    <w:p>
      <w:pPr>
        <w:spacing w:after="20" w:before="0"/>
      </w:pPr>
      <w:r>
        <w:rPr>
          <w:b w:val="0"/>
          <w:i w:val="0"/>
          <w:sz w:val="21"/>
        </w:rPr>
        <w:t>(b)  Sitting position lean forward with pressure over the lower nostril</w:t>
      </w:r>
    </w:p>
    <w:p>
      <w:pPr>
        <w:spacing w:after="20" w:before="0"/>
      </w:pPr>
      <w:r>
        <w:rPr>
          <w:b w:val="0"/>
          <w:i w:val="0"/>
          <w:sz w:val="21"/>
        </w:rPr>
        <w:t>(c)  Lying position with pressure over the nasal bridge</w:t>
      </w:r>
    </w:p>
    <w:p>
      <w:pPr>
        <w:spacing w:after="20" w:before="0"/>
      </w:pPr>
      <w:r>
        <w:rPr>
          <w:b w:val="0"/>
          <w:i w:val="0"/>
          <w:sz w:val="21"/>
        </w:rPr>
        <w:t>(d)  Lying position with pressure over the lower nostril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Epistaxis management: the child sits LEANING FORWARD (to prevent blood swallowing) and PINCHES THE SOFT LOWER PART OF THE NOSTRIL (not the bony bridge) for 5–10 minutes continuously. Lying positions are wrong (blood is swallowed → vomiting), and pressure over the nasal bridge does not compress the bleeding site (Kiesselbach's plexus is in the anterior lower septum).</w:t>
      </w:r>
    </w:p>
    <w:p>
      <w:pPr>
        <w:spacing w:after="20" w:before="0"/>
      </w:pPr>
      <w:r>
        <w:rPr>
          <w:b/>
        </w:rPr>
        <w:t xml:space="preserve">🔍 Key Clues: </w:t>
      </w:r>
      <w:r>
        <w:t>Epistaxis: sit, lean forward, pinch the LOWER nostril for 5–10 min.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Pressure on the bony nasal bridge does not compress the bleeding point. | c — Lying causes blood to be swallowed, risking vomiting/aspiration. | d — Lying position is incorrect even with lower-nostril pressure.</w:t>
      </w:r>
    </w:p>
    <w:p>
      <w:pPr>
        <w:spacing w:after="20" w:before="0"/>
      </w:pPr>
      <w:r>
        <w:rPr>
          <w:b/>
          <w:color w:val="B45F06"/>
        </w:rPr>
        <w:t xml:space="preserve">⚠️ Exam Trap: </w:t>
      </w:r>
      <w:r>
        <w:t>Pinch the SOFT part (lower nostril), not the bridge; always lean forward, never lie back.</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Epistaxis: sit forward + pinch lower nostril 10 min.</w:t>
      </w:r>
    </w:p>
    <w:p>
      <w:pPr>
        <w:spacing w:after="0" w:before="0"/>
      </w:pPr>
      <w:r>
        <w:rPr>
          <w:b/>
          <w:i w:val="0"/>
          <w:sz w:val="21"/>
        </w:rPr>
        <w:t>Positive Marks: 1    Negative Marks: 0.25</w:t>
      </w:r>
    </w:p>
    <w:p>
      <w:pPr>
        <w:spacing w:before="280" w:after="40"/>
      </w:pPr>
      <w:r>
        <w:rPr>
          <w:b/>
        </w:rPr>
        <w:t xml:space="preserve">Question: </w:t>
      </w:r>
      <w:r>
        <w:t>In the management of AMTSL, the nursing officer is performing controlled cord traction. Which of the following maneuvers will be performed along with it?</w:t>
      </w:r>
    </w:p>
    <w:p>
      <w:pPr>
        <w:spacing w:after="20" w:before="0"/>
      </w:pPr>
      <w:r>
        <w:rPr>
          <w:b w:val="0"/>
          <w:i w:val="0"/>
          <w:sz w:val="21"/>
        </w:rPr>
        <w:t>(a)  Apply fundal pressure</w:t>
      </w:r>
    </w:p>
    <w:p>
      <w:pPr>
        <w:spacing w:after="20" w:before="0"/>
      </w:pPr>
      <w:r>
        <w:rPr>
          <w:b w:val="0"/>
          <w:i w:val="0"/>
          <w:sz w:val="21"/>
        </w:rPr>
        <w:t>(b)  Vigorously massage the uterus</w:t>
      </w:r>
    </w:p>
    <w:p>
      <w:pPr>
        <w:spacing w:after="20" w:before="0"/>
      </w:pPr>
      <w:r>
        <w:rPr>
          <w:b w:val="0"/>
          <w:i w:val="0"/>
          <w:sz w:val="21"/>
        </w:rPr>
        <w:t>(c)  Apply counter pressure over the pubic symphysis</w:t>
      </w:r>
    </w:p>
    <w:p>
      <w:pPr>
        <w:spacing w:after="20" w:before="0"/>
      </w:pPr>
      <w:r>
        <w:rPr>
          <w:b w:val="0"/>
          <w:i w:val="0"/>
          <w:sz w:val="21"/>
        </w:rPr>
        <w:t>(d)  Uterine compression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Active Management of the Third Stage of Labour (AMTSL), CONTROLLED CORD TRACTION (CCT) — firm traction on the cord with counter-traction — is combined with COUNTER-PRESSURE OVER THE PUBIC SYMPHYSIS (the Brandt-Andrews maneuver) to guard the uterus and prevent uterine inversion while the placenta separates. Fundal pressure or vigorous massage are not part of controlled cord traction.</w:t>
      </w:r>
    </w:p>
    <w:p>
      <w:pPr>
        <w:spacing w:after="20" w:before="0"/>
      </w:pPr>
      <w:r>
        <w:rPr>
          <w:b/>
        </w:rPr>
        <w:t xml:space="preserve">🔍 Key Clues: </w:t>
      </w:r>
      <w:r>
        <w:t>CCT + suprapubic counter-pressure (Brandt-Andrews) prevents uterine inversion.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Fundal pressure is contraindicated with CCT — it risks uterine inversion/rupture. | b — Vigorous massage is not combined with CCT; massage follows placental delivery. | d — Uterine compression is a separate PPH measure, not the paired maneuver with CCT.</w:t>
      </w:r>
    </w:p>
    <w:p>
      <w:pPr>
        <w:spacing w:after="20" w:before="0"/>
      </w:pPr>
      <w:r>
        <w:rPr>
          <w:b/>
          <w:color w:val="B45F06"/>
        </w:rPr>
        <w:t xml:space="preserve">⚠️ Exam Trap: </w:t>
      </w:r>
      <w:r>
        <w:t>Counter-traction on the fundus (above symphysis) keeps the uterus from inverting during CCT.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Brandt-Andrews: CCT + suprapubic counter-pressure.</w:t>
      </w:r>
    </w:p>
    <w:p>
      <w:pPr>
        <w:spacing w:after="0" w:before="0"/>
      </w:pPr>
      <w:r>
        <w:rPr>
          <w:b/>
          <w:i w:val="0"/>
          <w:sz w:val="21"/>
        </w:rPr>
        <w:t>Positive Marks: 1    Negative Marks: 0.25</w:t>
      </w:r>
    </w:p>
    <w:p>
      <w:pPr>
        <w:spacing w:before="280" w:after="40"/>
      </w:pPr>
      <w:r>
        <w:rPr>
          <w:b/>
        </w:rPr>
        <w:t xml:space="preserve">Question: </w:t>
      </w:r>
      <w:r>
        <w:t>IM injection is administered at which angle?</w:t>
      </w:r>
    </w:p>
    <w:p>
      <w:pPr>
        <w:spacing w:after="20" w:before="0"/>
      </w:pPr>
      <w:r>
        <w:rPr>
          <w:b w:val="0"/>
          <w:i w:val="0"/>
          <w:sz w:val="21"/>
        </w:rPr>
        <w:t>(a)  15</w:t>
      </w:r>
    </w:p>
    <w:p>
      <w:pPr>
        <w:spacing w:after="20" w:before="0"/>
      </w:pPr>
      <w:r>
        <w:rPr>
          <w:b w:val="0"/>
          <w:i w:val="0"/>
          <w:sz w:val="21"/>
        </w:rPr>
        <w:t>(b)  30</w:t>
      </w:r>
    </w:p>
    <w:p>
      <w:pPr>
        <w:spacing w:after="20" w:before="0"/>
      </w:pPr>
      <w:r>
        <w:rPr>
          <w:b w:val="0"/>
          <w:i w:val="0"/>
          <w:sz w:val="21"/>
        </w:rPr>
        <w:t>(c)  45</w:t>
      </w:r>
    </w:p>
    <w:p>
      <w:pPr>
        <w:spacing w:after="20" w:before="0"/>
      </w:pPr>
      <w:r>
        <w:rPr>
          <w:b w:val="0"/>
          <w:i w:val="0"/>
          <w:sz w:val="21"/>
        </w:rPr>
        <w:t>(d)  90</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Intramuscular (IM) injections are given at a 90° ANGLE to ensure the needle reaches the muscle layer. Subcutaneous injections use 45° (or 90° with a short needle), and intradermal injections use 10–15°. The 90° IM angle is standard for all IM sites.</w:t>
      </w:r>
    </w:p>
    <w:p>
      <w:pPr>
        <w:spacing w:after="20" w:before="0"/>
      </w:pPr>
      <w:r>
        <w:rPr>
          <w:b/>
        </w:rPr>
        <w:t xml:space="preserve">🔍 Key Clues: </w:t>
      </w:r>
      <w:r>
        <w:t>IM = 90°; SC = 45°; ID = 10–15°.</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15° is the intradermal angle. | b — 30° is not a standard injection angle. | c — 45° is the subcutaneous angle.</w:t>
      </w:r>
    </w:p>
    <w:p>
      <w:pPr>
        <w:spacing w:after="20" w:before="0"/>
      </w:pPr>
      <w:r>
        <w:rPr>
          <w:b/>
          <w:color w:val="B45F06"/>
        </w:rPr>
        <w:t xml:space="preserve">⚠️ Exam Trap: </w:t>
      </w:r>
      <w:r>
        <w:t>Angles: ID 10–15°, SC 45°, IM 90°, IV 25–30°.</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IM injection angle = 90°.</w:t>
      </w:r>
    </w:p>
    <w:p>
      <w:pPr>
        <w:spacing w:after="0" w:before="0"/>
      </w:pPr>
      <w:r>
        <w:rPr>
          <w:b/>
          <w:i w:val="0"/>
          <w:sz w:val="21"/>
        </w:rPr>
        <w:t>Positive Marks: 1    Negative Marks: 0.25</w:t>
      </w:r>
    </w:p>
    <w:p>
      <w:pPr>
        <w:spacing w:before="280" w:after="40"/>
      </w:pPr>
      <w:r>
        <w:rPr>
          <w:b/>
        </w:rPr>
        <w:t xml:space="preserve">Question: </w:t>
      </w:r>
      <w:r>
        <w:t>Vaccination that match like BCG - ID. Match the following routes (1. Oral, 2. Intramuscular, 3. Intradermal, 4. Subcutaneous, 5. Intranasal) with the vaccines: A. Measles, B. BCG, C. Hib, D. Polio (Sabin).</w:t>
      </w:r>
    </w:p>
    <w:p>
      <w:pPr>
        <w:spacing w:after="20" w:before="0"/>
      </w:pPr>
      <w:r>
        <w:rPr>
          <w:b w:val="0"/>
          <w:i w:val="0"/>
          <w:sz w:val="21"/>
        </w:rPr>
        <w:t>(a)  4, 3, 2, 1</w:t>
      </w:r>
    </w:p>
    <w:p>
      <w:pPr>
        <w:spacing w:after="20" w:before="0"/>
      </w:pPr>
      <w:r>
        <w:rPr>
          <w:b w:val="0"/>
          <w:i w:val="0"/>
          <w:sz w:val="21"/>
        </w:rPr>
        <w:t>(b)  4, 2, 1, 3</w:t>
      </w:r>
    </w:p>
    <w:p>
      <w:pPr>
        <w:spacing w:after="20" w:before="0"/>
      </w:pPr>
      <w:r>
        <w:rPr>
          <w:b w:val="0"/>
          <w:i w:val="0"/>
          <w:sz w:val="21"/>
        </w:rPr>
        <w:t>(c)  3, 1, 2, 4</w:t>
      </w:r>
    </w:p>
    <w:p>
      <w:pPr>
        <w:spacing w:after="20" w:before="0"/>
      </w:pPr>
      <w:r>
        <w:rPr>
          <w:b w:val="0"/>
          <w:i w:val="0"/>
          <w:sz w:val="21"/>
        </w:rPr>
        <w:t>(d)  3, 4, 2, 1</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Matching vaccines to their routes: Measles → SUBCUTANEOUS (4); BCG → INTRADERMAL (3); Hib → INTRAMUSCULAR (2); Polio (Sabin/OPV) → ORAL (1). So the sequence is 4, 3, 2, 1 = option (a). The stem itself confirms the BCG–intradermal pairing as a hint.</w:t>
      </w:r>
    </w:p>
    <w:p>
      <w:pPr>
        <w:spacing w:after="20" w:before="0"/>
      </w:pPr>
      <w:r>
        <w:rPr>
          <w:b/>
        </w:rPr>
        <w:t xml:space="preserve">🔍 Key Clues: </w:t>
      </w:r>
      <w:r>
        <w:t>Measles=SC(4), BCG=ID(3), Hib=IM(2), OPV=Oral(1) → 4321.</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Putting Hib as oral and OPV as SC is wrong. | c — Starts with BCG=3 but assigns measles=1 (oral) — wrong. | d — Assigns measles=3 (ID) and BCG=4 (SC) — reversed.</w:t>
      </w:r>
    </w:p>
    <w:p>
      <w:pPr>
        <w:spacing w:after="20" w:before="0"/>
      </w:pPr>
      <w:r>
        <w:rPr>
          <w:b/>
          <w:color w:val="B45F06"/>
        </w:rPr>
        <w:t xml:space="preserve">⚠️ Exam Trap: </w:t>
      </w:r>
      <w:r>
        <w:t>Remember: only OPV is oral; BCG is the classic intradermal vaccine; measles is subcutaneous.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OPV oral, BCG ID, Hib IM, Measles SC.</w:t>
      </w:r>
    </w:p>
    <w:p>
      <w:pPr>
        <w:spacing w:after="0" w:before="0"/>
      </w:pPr>
      <w:r>
        <w:rPr>
          <w:b/>
          <w:i w:val="0"/>
          <w:sz w:val="21"/>
        </w:rPr>
        <w:t>Positive Marks: 1    Negative Marks: 0.25</w:t>
      </w:r>
    </w:p>
    <w:p>
      <w:pPr>
        <w:spacing w:before="280" w:after="40"/>
      </w:pPr>
      <w:r>
        <w:rPr>
          <w:b/>
        </w:rPr>
        <w:t xml:space="preserve">Question: </w:t>
      </w:r>
      <w:r>
        <w:t>Pt vomited immediately after oral medication. What will be the next step?</w:t>
      </w:r>
    </w:p>
    <w:p>
      <w:pPr>
        <w:spacing w:after="20" w:before="0"/>
      </w:pPr>
      <w:r>
        <w:rPr>
          <w:b w:val="0"/>
          <w:i w:val="0"/>
          <w:sz w:val="21"/>
        </w:rPr>
        <w:t>(a)  Immediately give next dose</w:t>
      </w:r>
    </w:p>
    <w:p>
      <w:pPr>
        <w:spacing w:after="20" w:before="0"/>
      </w:pPr>
      <w:r>
        <w:rPr>
          <w:b w:val="0"/>
          <w:i w:val="0"/>
          <w:sz w:val="21"/>
        </w:rPr>
        <w:t>(b)  Inform doctor before next dose</w:t>
      </w:r>
    </w:p>
    <w:p>
      <w:pPr>
        <w:spacing w:after="20" w:before="0"/>
      </w:pPr>
      <w:r>
        <w:rPr>
          <w:b w:val="0"/>
          <w:i w:val="0"/>
          <w:sz w:val="21"/>
        </w:rPr>
        <w:t>(c)  Give double dose</w:t>
      </w:r>
    </w:p>
    <w:p>
      <w:pPr>
        <w:spacing w:after="20" w:before="0"/>
      </w:pPr>
      <w:r>
        <w:rPr>
          <w:b w:val="0"/>
          <w:i w:val="0"/>
          <w:sz w:val="21"/>
        </w:rPr>
        <w:t>(d)  Document as normal finding</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When a patient vomits immediately after an oral drug, the nurse should INFORM THE DOCTOR before repeating the dose — the amount absorbed is uncertain, and whether to re-administer depends on the drug, the route and the clinical situation. Giving another or a double dose risks toxicity; simply documenting ignores the missed dose.</w:t>
      </w:r>
    </w:p>
    <w:p>
      <w:pPr>
        <w:spacing w:after="20" w:before="0"/>
      </w:pPr>
      <w:r>
        <w:rPr>
          <w:b/>
        </w:rPr>
        <w:t xml:space="preserve">🔍 Key Clues: </w:t>
      </w:r>
      <w:r>
        <w:t>Post-medication vomiting → inform the provider before deciding on re-administration.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Repeating the full dose immediately risks overdose if some was absorbed. | c — A double dose is dangerous and is never given without orders. | d — The vomiting must be reported/acted on — it is not a 'normal finding' to document silently.</w:t>
      </w:r>
    </w:p>
    <w:p>
      <w:pPr>
        <w:spacing w:after="20" w:before="0"/>
      </w:pPr>
      <w:r>
        <w:rPr>
          <w:b/>
          <w:color w:val="B45F06"/>
        </w:rPr>
        <w:t xml:space="preserve">⚠️ Exam Trap: </w:t>
      </w:r>
      <w:r>
        <w:t>Never auto-repeat or double a vomited dose — clarify with the prescriber first.</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Vomited dose → inform doctor, don't repeat on your own.</w:t>
      </w:r>
    </w:p>
    <w:p>
      <w:pPr>
        <w:spacing w:after="0" w:before="0"/>
      </w:pPr>
      <w:r>
        <w:rPr>
          <w:b/>
          <w:i w:val="0"/>
          <w:sz w:val="21"/>
        </w:rPr>
        <w:t>Positive Marks: 1    Negative Marks: 0.25</w:t>
      </w:r>
    </w:p>
    <w:p>
      <w:pPr>
        <w:spacing w:before="280" w:after="40"/>
      </w:pPr>
      <w:r>
        <w:rPr>
          <w:b/>
        </w:rPr>
        <w:t xml:space="preserve">Question: </w:t>
      </w:r>
      <w:r>
        <w:t>What is the daily calorie intake of the pregnant female according to the NIN 2020 guidelines? She has a moderately active normal BMI in the 2nd trimester?</w:t>
      </w:r>
    </w:p>
    <w:p>
      <w:pPr>
        <w:spacing w:after="20" w:before="0"/>
      </w:pPr>
      <w:r>
        <w:rPr>
          <w:b w:val="0"/>
          <w:i w:val="0"/>
          <w:sz w:val="21"/>
        </w:rPr>
        <w:t>(a)  2180 kcal</w:t>
      </w:r>
    </w:p>
    <w:p>
      <w:pPr>
        <w:spacing w:after="20" w:before="0"/>
      </w:pPr>
      <w:r>
        <w:rPr>
          <w:b w:val="0"/>
          <w:i w:val="0"/>
          <w:sz w:val="21"/>
        </w:rPr>
        <w:t>(b)  2280 kcal</w:t>
      </w:r>
    </w:p>
    <w:p>
      <w:pPr>
        <w:spacing w:after="20" w:before="0"/>
      </w:pPr>
      <w:r>
        <w:rPr>
          <w:b w:val="0"/>
          <w:i w:val="0"/>
          <w:sz w:val="21"/>
        </w:rPr>
        <w:t>(c)  2780 kcal</w:t>
      </w:r>
    </w:p>
    <w:p>
      <w:pPr>
        <w:spacing w:after="20" w:before="0"/>
      </w:pPr>
      <w:r>
        <w:rPr>
          <w:b w:val="0"/>
          <w:i w:val="0"/>
          <w:sz w:val="21"/>
        </w:rPr>
        <w:t>(d)  2480 kcal</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Per NIN-ICMR 2020 dietary guidelines, the recommended energy intake for a pregnant woman (moderately active, normal BMI) is the non-pregnant allowance plus an ADDITIONAL 350 kcal/day in the second trimester — approximately 2130 + 350 = 2480 KCAL. The first trimester needs no extra calories; the third adds about 450–500 kcal.</w:t>
      </w:r>
    </w:p>
    <w:p>
      <w:pPr>
        <w:spacing w:after="20" w:before="0"/>
      </w:pPr>
      <w:r>
        <w:rPr>
          <w:b/>
        </w:rPr>
        <w:t xml:space="preserve">🔍 Key Clues: </w:t>
      </w:r>
      <w:r>
        <w:t>2nd trimester: base intake + 350 kcal ≈ 2480 kcal (NIN 2020).</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2180 kcal is below the base allowance for a moderately active adult. | b — 2280 kcal approximates the base without the pregnancy increment. | c — 2780 kcal matches a higher increment (3rd trimester) or heavier activity.</w:t>
      </w:r>
    </w:p>
    <w:p>
      <w:pPr>
        <w:spacing w:after="20" w:before="0"/>
      </w:pPr>
      <w:r>
        <w:rPr>
          <w:b/>
          <w:color w:val="B45F06"/>
        </w:rPr>
        <w:t xml:space="preserve">⚠️ Exam Trap: </w:t>
      </w:r>
      <w:r>
        <w:t>2nd trimester +350 kcal, 3rd trimester +450–500 kcal, 1st trimester +0.</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Pregnancy calories (NIN 2020): +350 kcal 2nd trimester, +450–500 3rd trimester.</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