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pt having hypoxia despite continuous NIV support. What will be the next step?</w:t>
      </w:r>
    </w:p>
    <w:p>
      <w:pPr>
        <w:spacing w:after="20" w:before="0"/>
      </w:pPr>
      <w:r>
        <w:rPr>
          <w:b w:val="0"/>
          <w:i w:val="0"/>
          <w:sz w:val="21"/>
        </w:rPr>
        <w:t>(a)  Wait and watch</w:t>
      </w:r>
    </w:p>
    <w:p>
      <w:pPr>
        <w:spacing w:after="20" w:before="0"/>
      </w:pPr>
      <w:r>
        <w:rPr>
          <w:b w:val="0"/>
          <w:i w:val="0"/>
          <w:sz w:val="21"/>
        </w:rPr>
        <w:t>(b)  Remove NIV</w:t>
      </w:r>
    </w:p>
    <w:p>
      <w:pPr>
        <w:spacing w:after="20" w:before="0"/>
      </w:pPr>
      <w:r>
        <w:rPr>
          <w:b w:val="0"/>
          <w:i w:val="0"/>
          <w:sz w:val="21"/>
        </w:rPr>
        <w:t>(c)  Intubate</w:t>
      </w:r>
    </w:p>
    <w:p>
      <w:pPr>
        <w:spacing w:after="20" w:before="0"/>
      </w:pPr>
      <w:r>
        <w:rPr>
          <w:b w:val="0"/>
          <w:i w:val="0"/>
          <w:sz w:val="21"/>
        </w:rPr>
        <w:t>(d)  Continue for few more hours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When a patient remains hypoxic DESPITE optimal NIV support, NIV has failed and the next step is ENDOTRACHEAL INTUBATION with mechanical ventilation. Continuing or waiting while the patient deteriorates risks respiratory arrest; removing NIV without an alternative worsens oxygenation.</w:t>
      </w:r>
    </w:p>
    <w:p>
      <w:pPr>
        <w:spacing w:after="20" w:before="0"/>
      </w:pPr>
      <w:r>
        <w:rPr>
          <w:b/>
        </w:rPr>
        <w:t xml:space="preserve">🔍 Key Clues: </w:t>
      </w:r>
      <w:r>
        <w:t>NIV failure (persistent hypoxia) → intubation and mechanical ventilation.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Waiting risks cardiorespiratory arrest in a failing patient. | b — Removing NIV without intubating is dangerous. | d — Continuing an ineffective therapy delays definitive airway support.</w:t>
      </w:r>
    </w:p>
    <w:p>
      <w:pPr>
        <w:spacing w:after="20" w:before="0"/>
      </w:pPr>
      <w:r>
        <w:rPr>
          <w:b/>
          <w:color w:val="B45F06"/>
        </w:rPr>
        <w:t xml:space="preserve">⚠️ Exam Trap: </w:t>
      </w:r>
      <w:r>
        <w:t>NIV is a bridge, not a destination — persistent hypoxia = escalate to intubation.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NIV failure → intubate promptly.</w:t>
      </w:r>
    </w:p>
    <w:p>
      <w:pPr>
        <w:spacing w:after="0" w:before="0"/>
      </w:pPr>
      <w:r>
        <w:rPr>
          <w:b/>
          <w:i w:val="0"/>
          <w:sz w:val="21"/>
        </w:rPr>
        <w:t>Positive Marks: 1    Negative Marks: 0.25</w:t>
      </w:r>
    </w:p>
    <w:p>
      <w:pPr>
        <w:spacing w:before="280" w:after="40"/>
      </w:pPr>
      <w:r>
        <w:rPr>
          <w:b/>
        </w:rPr>
        <w:t xml:space="preserve">Question: </w:t>
      </w:r>
      <w:r>
        <w:t>Which valve helps in synchronization with patient breath on BiPAP?</w:t>
      </w:r>
    </w:p>
    <w:p>
      <w:pPr>
        <w:spacing w:after="20" w:before="0"/>
      </w:pPr>
      <w:r>
        <w:rPr>
          <w:b w:val="0"/>
          <w:i w:val="0"/>
          <w:sz w:val="21"/>
        </w:rPr>
        <w:t>(a)  Expiratory valve</w:t>
      </w:r>
    </w:p>
    <w:p>
      <w:pPr>
        <w:spacing w:after="20" w:before="0"/>
      </w:pPr>
      <w:r>
        <w:rPr>
          <w:b w:val="0"/>
          <w:i w:val="0"/>
          <w:sz w:val="21"/>
        </w:rPr>
        <w:t>(b)  Trigger valve</w:t>
      </w:r>
    </w:p>
    <w:p>
      <w:pPr>
        <w:spacing w:after="20" w:before="0"/>
      </w:pPr>
      <w:r>
        <w:rPr>
          <w:b w:val="0"/>
          <w:i w:val="0"/>
          <w:sz w:val="21"/>
        </w:rPr>
        <w:t>(c)  Oxygen valve</w:t>
      </w:r>
    </w:p>
    <w:p>
      <w:pPr>
        <w:spacing w:after="20" w:before="0"/>
      </w:pPr>
      <w:r>
        <w:rPr>
          <w:b w:val="0"/>
          <w:i w:val="0"/>
          <w:sz w:val="21"/>
        </w:rPr>
        <w:t>(d)  Safety valve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TRIGGER (sensitivity) valve in BiPAP/ventilator circuits detects the patient's inspiratory effort and synchronises machine breaths with spontaneous breathing. Expiratory valves control exhalation, oxygen valves deliver FiO2, and safety valves prevent excess pressure — none synchronise with the patient's breath.</w:t>
      </w:r>
    </w:p>
    <w:p>
      <w:pPr>
        <w:spacing w:after="20" w:before="0"/>
      </w:pPr>
      <w:r>
        <w:rPr>
          <w:b/>
        </w:rPr>
        <w:t xml:space="preserve">🔍 Key Clues: </w:t>
      </w:r>
      <w:r>
        <w:t>Breath synchronization = the trigger/sensitivity valve.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expiratory valve manages exhalation, not breath-triggering. | c — The oxygen valve regulates delivered oxygen fraction. | d — The safety valve releases excess circuit pressure.</w:t>
      </w:r>
    </w:p>
    <w:p>
      <w:pPr>
        <w:spacing w:after="20" w:before="0"/>
      </w:pPr>
      <w:r>
        <w:rPr>
          <w:b/>
          <w:color w:val="B45F06"/>
        </w:rPr>
        <w:t xml:space="preserve">⚠️ Exam Trap: </w:t>
      </w:r>
      <w:r>
        <w:t>Trigger = 'on-demand' synchronisation with the patient's effort.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BiPAP synchronization = trigger valve.</w:t>
      </w:r>
    </w:p>
    <w:p>
      <w:pPr>
        <w:spacing w:after="0" w:before="0"/>
      </w:pPr>
      <w:r>
        <w:rPr>
          <w:b/>
          <w:i w:val="0"/>
          <w:sz w:val="21"/>
        </w:rPr>
        <w:t>Positive Marks: 1    Negative Marks: 0.25</w:t>
      </w:r>
    </w:p>
    <w:p>
      <w:pPr>
        <w:spacing w:before="280" w:after="40"/>
      </w:pPr>
      <w:r>
        <w:rPr>
          <w:b/>
        </w:rPr>
        <w:t xml:space="preserve">Question: </w:t>
      </w:r>
      <w:r>
        <w:t>A pt. Is having hyper and hypo followed by a period of apnea. Which type of respiration?</w:t>
      </w:r>
    </w:p>
    <w:p>
      <w:pPr>
        <w:spacing w:after="20" w:before="0"/>
      </w:pPr>
      <w:r>
        <w:rPr>
          <w:b w:val="0"/>
          <w:i w:val="0"/>
          <w:sz w:val="21"/>
        </w:rPr>
        <w:t>(a)  Cheyne-Stokes</w:t>
      </w:r>
    </w:p>
    <w:p>
      <w:pPr>
        <w:spacing w:after="20" w:before="0"/>
      </w:pPr>
      <w:r>
        <w:rPr>
          <w:b w:val="0"/>
          <w:i w:val="0"/>
          <w:sz w:val="21"/>
        </w:rPr>
        <w:t>(b)  Kussmaul</w:t>
      </w:r>
    </w:p>
    <w:p>
      <w:pPr>
        <w:spacing w:after="20" w:before="0"/>
      </w:pPr>
      <w:r>
        <w:rPr>
          <w:b w:val="0"/>
          <w:i w:val="0"/>
          <w:sz w:val="21"/>
        </w:rPr>
        <w:t>(c)  Biot</w:t>
      </w:r>
    </w:p>
    <w:p>
      <w:pPr>
        <w:spacing w:after="20" w:before="0"/>
      </w:pPr>
      <w:r>
        <w:rPr>
          <w:b w:val="0"/>
          <w:i w:val="0"/>
          <w:sz w:val="21"/>
        </w:rPr>
        <w:t>(d)  Depressed breathing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Hyperpnea and hypopnea alternating in a crescendo–decrescendo pattern followed by a period of APNEA is CHEYNE-STOKES respiration — seen in heart failure, uremia, and increased intracranial pressure. Biot's breathing is irregular without the smooth crescendo pattern; Kussmaul is deep, regular, continuous (metabolic acidosis); depressed breathing is simple hypoventilation.</w:t>
      </w:r>
    </w:p>
    <w:p>
      <w:pPr>
        <w:spacing w:after="20" w:before="0"/>
      </w:pPr>
      <w:r>
        <w:rPr>
          <w:b/>
        </w:rPr>
        <w:t xml:space="preserve">🔍 Key Clues: </w:t>
      </w:r>
      <w:r>
        <w:t>Crescendo-decrescendo + apnea = Cheyne-Stokes respiration.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Kussmaul = deep, regular, labored breathing without apnea. | c — Biot's = irregular breaths with apneas but no crescendo-decrescendo pattern. | d — Depressed breathing = slow/shallow, no alternating pattern.</w:t>
      </w:r>
    </w:p>
    <w:p>
      <w:pPr>
        <w:spacing w:after="20" w:before="0"/>
      </w:pPr>
      <w:r>
        <w:rPr>
          <w:b/>
          <w:color w:val="B45F06"/>
        </w:rPr>
        <w:t xml:space="preserve">⚠️ Exam Trap: </w:t>
      </w:r>
      <w:r>
        <w:t>Cheyne-Stokes has the rhythmic waxing-waning; Biot's is chaotically irregular.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Cheyne-Stokes = waxing-waning breathing + apnea (ICP/heart failure).</w:t>
      </w:r>
    </w:p>
    <w:p>
      <w:pPr>
        <w:spacing w:after="0" w:before="0"/>
      </w:pPr>
      <w:r>
        <w:rPr>
          <w:b/>
          <w:i w:val="0"/>
          <w:sz w:val="21"/>
        </w:rPr>
        <w:t>Positive Marks: 1    Negative Marks: 0.25</w:t>
      </w:r>
    </w:p>
    <w:p>
      <w:pPr>
        <w:spacing w:before="280" w:after="40"/>
      </w:pPr>
      <w:r>
        <w:rPr>
          <w:b/>
        </w:rPr>
        <w:t xml:space="preserve">Question: </w:t>
      </w:r>
      <w:r>
        <w:t>A nurse is cleaning the eye from inner canthus to outer canthus. What is the rationale for this?</w:t>
      </w:r>
    </w:p>
    <w:p>
      <w:pPr>
        <w:spacing w:after="20" w:before="0"/>
      </w:pPr>
      <w:r>
        <w:rPr>
          <w:b w:val="0"/>
          <w:i w:val="0"/>
          <w:sz w:val="21"/>
        </w:rPr>
        <w:t>(a)  To prevent infection to lacrimal duct</w:t>
      </w:r>
    </w:p>
    <w:p>
      <w:pPr>
        <w:spacing w:after="20" w:before="0"/>
      </w:pPr>
      <w:r>
        <w:rPr>
          <w:b w:val="0"/>
          <w:i w:val="0"/>
          <w:sz w:val="21"/>
        </w:rPr>
        <w:t>(b)  To prevent corneal abrasion</w:t>
      </w:r>
    </w:p>
    <w:p>
      <w:pPr>
        <w:spacing w:after="20" w:before="0"/>
      </w:pPr>
      <w:r>
        <w:rPr>
          <w:b w:val="0"/>
          <w:i w:val="0"/>
          <w:sz w:val="21"/>
        </w:rPr>
        <w:t>(c)  To improve vision clarity</w:t>
      </w:r>
    </w:p>
    <w:p>
      <w:pPr>
        <w:spacing w:after="20" w:before="0"/>
      </w:pPr>
      <w:r>
        <w:rPr>
          <w:b w:val="0"/>
          <w:i w:val="0"/>
          <w:sz w:val="21"/>
        </w:rPr>
        <w:t>(d)  To prevent the dryness of the eyes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eye is cleaned from the INNER canthus (near the nose) to the OUTER canthus to prevent carrying debris and microorganisms INTO the LACRIMAL DUCT (nasolacrimal drainage), which lies at the inner canthus. Cleaning inward would push contamination toward the duct and increase infection risk.</w:t>
      </w:r>
    </w:p>
    <w:p>
      <w:pPr>
        <w:spacing w:after="20" w:before="0"/>
      </w:pPr>
      <w:r>
        <w:rPr>
          <w:b/>
        </w:rPr>
        <w:t xml:space="preserve">🔍 Key Clues: </w:t>
      </w:r>
      <w:r>
        <w:t>Inner → outer canthus protects the lacrimal duct from contamination.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Corneal abrasion is prevented by gentle technique/separate swabs, not the direction. | c — Cleaning direction does not improve visual clarity. | d — Dryness is managed with lubricants, not cleaning direction.</w:t>
      </w:r>
    </w:p>
    <w:p>
      <w:pPr>
        <w:spacing w:after="20" w:before="0"/>
      </w:pPr>
      <w:r>
        <w:rPr>
          <w:b/>
          <w:color w:val="B45F06"/>
        </w:rPr>
        <w:t xml:space="preserve">⚠️ Exam Trap: </w:t>
      </w:r>
      <w:r>
        <w:t>The nasolacrimal punctum is at the INNER canthus — always clean away from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Eye care: inner canthus → outer canthus (protects lacrimal duct).</w:t>
      </w:r>
    </w:p>
    <w:p>
      <w:pPr>
        <w:spacing w:after="0" w:before="0"/>
      </w:pPr>
      <w:r>
        <w:rPr>
          <w:b/>
          <w:i w:val="0"/>
          <w:sz w:val="21"/>
        </w:rPr>
        <w:t>Positive Marks: 1    Negative Marks: 0.25</w:t>
      </w:r>
    </w:p>
    <w:p>
      <w:pPr>
        <w:spacing w:before="280" w:after="40"/>
      </w:pPr>
      <w:r>
        <w:rPr>
          <w:b/>
        </w:rPr>
        <w:t xml:space="preserve">Question: </w:t>
      </w:r>
      <w:r>
        <w:t>A child came with partial thickness burns to the lower extremity. What will the priority management in the 1st 24 hours?</w:t>
      </w:r>
    </w:p>
    <w:p>
      <w:pPr>
        <w:spacing w:after="20" w:before="0"/>
      </w:pPr>
      <w:r>
        <w:rPr>
          <w:b w:val="0"/>
          <w:i w:val="0"/>
          <w:sz w:val="21"/>
        </w:rPr>
        <w:t>(a)  Secure airway</w:t>
      </w:r>
    </w:p>
    <w:p>
      <w:pPr>
        <w:spacing w:after="20" w:before="0"/>
      </w:pPr>
      <w:r>
        <w:rPr>
          <w:b w:val="0"/>
          <w:i w:val="0"/>
          <w:sz w:val="21"/>
        </w:rPr>
        <w:t>(b)  Fluid resuscitation</w:t>
      </w:r>
    </w:p>
    <w:p>
      <w:pPr>
        <w:spacing w:after="20" w:before="0"/>
      </w:pPr>
      <w:r>
        <w:rPr>
          <w:b w:val="0"/>
          <w:i w:val="0"/>
          <w:sz w:val="21"/>
        </w:rPr>
        <w:t>(c)  Encourage bed rest</w:t>
      </w:r>
    </w:p>
    <w:p>
      <w:pPr>
        <w:spacing w:after="20" w:before="0"/>
      </w:pPr>
      <w:r>
        <w:rPr>
          <w:b w:val="0"/>
          <w:i w:val="0"/>
          <w:sz w:val="21"/>
        </w:rPr>
        <w:t>(d)  Keep the child isolated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the first 24 hours after a burn, the priority is FLUID RESUSCITATION — massive capillary leak causes hypovolemic shock, so fluids (Parkland: 4 ml × %TBSA × kg) are given to maintain perfusion. Airway is secured first only when burns involve the face/inhalation injury; bed rest and isolation are supportive, not the priority in the first day.</w:t>
      </w:r>
    </w:p>
    <w:p>
      <w:pPr>
        <w:spacing w:after="20" w:before="0"/>
      </w:pPr>
      <w:r>
        <w:rPr>
          <w:b/>
        </w:rPr>
        <w:t xml:space="preserve">🔍 Key Clues: </w:t>
      </w:r>
      <w:r>
        <w:t>Burns 1st 24 h = fluid resuscitation (Parkland formula).</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Airway is prioritised with facial burns/inhalation injury — the stem specifies extremity burns. | c — Bed rest is supportive, not the life-saving priority. | d — Isolation is for infection control later, not the first 24-hour priority.</w:t>
      </w:r>
    </w:p>
    <w:p>
      <w:pPr>
        <w:spacing w:after="20" w:before="0"/>
      </w:pPr>
      <w:r>
        <w:rPr>
          <w:b/>
          <w:color w:val="B45F06"/>
        </w:rPr>
        <w:t xml:space="preserve">⚠️ Exam Trap: </w:t>
      </w:r>
      <w:r>
        <w:t>Shock from fluid loss is the early killer in burns — fluids come before dressings/bed rest.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Burn first 24 h: IV fluids (4 ml × %TBSA × kg).</w:t>
      </w:r>
    </w:p>
    <w:p>
      <w:pPr>
        <w:spacing w:after="0" w:before="0"/>
      </w:pPr>
      <w:r>
        <w:rPr>
          <w:b/>
          <w:i w:val="0"/>
          <w:sz w:val="21"/>
        </w:rPr>
        <w:t>Positive Marks: 1    Negative Marks: 0.25</w:t>
      </w:r>
    </w:p>
    <w:p>
      <w:pPr>
        <w:spacing w:before="280" w:after="40"/>
      </w:pPr>
      <w:r>
        <w:rPr>
          <w:b/>
        </w:rPr>
        <w:t xml:space="preserve">Question: </w:t>
      </w:r>
      <w:r>
        <w:t>Which muscle is avoided to prevent sciatic nerve injury?</w:t>
      </w:r>
    </w:p>
    <w:p>
      <w:pPr>
        <w:spacing w:after="20" w:before="0"/>
      </w:pPr>
      <w:r>
        <w:rPr>
          <w:b w:val="0"/>
          <w:i w:val="0"/>
          <w:sz w:val="21"/>
        </w:rPr>
        <w:t>(a)  Dorsogluteal</w:t>
      </w:r>
    </w:p>
    <w:p>
      <w:pPr>
        <w:spacing w:after="20" w:before="0"/>
      </w:pPr>
      <w:r>
        <w:rPr>
          <w:b w:val="0"/>
          <w:i w:val="0"/>
          <w:sz w:val="21"/>
        </w:rPr>
        <w:t>(b)  Ventrogluteal</w:t>
      </w:r>
    </w:p>
    <w:p>
      <w:pPr>
        <w:spacing w:after="20" w:before="0"/>
      </w:pPr>
      <w:r>
        <w:rPr>
          <w:b w:val="0"/>
          <w:i w:val="0"/>
          <w:sz w:val="21"/>
        </w:rPr>
        <w:t>(c)  Deltoid</w:t>
      </w:r>
    </w:p>
    <w:p>
      <w:pPr>
        <w:spacing w:after="20" w:before="0"/>
      </w:pPr>
      <w:r>
        <w:rPr>
          <w:b w:val="0"/>
          <w:i w:val="0"/>
          <w:sz w:val="21"/>
        </w:rPr>
        <w:t>(d)  Vastus lateralis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DORSOGLUTEAL site is avoided for IM injections (especially in infants/children) because the sciatic nerve runs close beneath the upper outer quadrant — a misplaced injection risks sciatic nerve injury. Ventrogluteal (preferred in adults), deltoid and vastus lateralis (preferred in children) are safe sites away from major nerves.</w:t>
      </w:r>
    </w:p>
    <w:p>
      <w:pPr>
        <w:spacing w:after="20" w:before="0"/>
      </w:pPr>
      <w:r>
        <w:rPr>
          <w:b/>
        </w:rPr>
        <w:t xml:space="preserve">🔍 Key Clues: </w:t>
      </w:r>
      <w:r>
        <w:t>Sciatic nerve is near the dorsogluteal site → avoid it.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Ventrogluteal is a recommended safe site (no major nerves). | c — Deltoid is safe when given in the upper third, away from the radial nerve. | d — Vastus lateralis is the preferred site in children — no major vessels/nerves.</w:t>
      </w:r>
    </w:p>
    <w:p>
      <w:pPr>
        <w:spacing w:after="20" w:before="0"/>
      </w:pPr>
      <w:r>
        <w:rPr>
          <w:b/>
          <w:color w:val="B45F06"/>
        </w:rPr>
        <w:t xml:space="preserve">⚠️ Exam Trap: </w:t>
      </w:r>
      <w:r>
        <w:t>Dorsogluteal = sciatic nerve risk; ventrogluteal/vastus lateralis are safer.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Avoid dorsogluteal — sciatic nerve injury risk.</w:t>
      </w:r>
    </w:p>
    <w:p>
      <w:pPr>
        <w:spacing w:after="0" w:before="0"/>
      </w:pPr>
      <w:r>
        <w:rPr>
          <w:b/>
          <w:i w:val="0"/>
          <w:sz w:val="21"/>
        </w:rPr>
        <w:t>Positive Marks: 1    Negative Marks: 0.25</w:t>
      </w:r>
    </w:p>
    <w:p>
      <w:pPr>
        <w:spacing w:before="280" w:after="40"/>
      </w:pPr>
      <w:r>
        <w:rPr>
          <w:b/>
        </w:rPr>
        <w:t xml:space="preserve">Question: </w:t>
      </w:r>
      <w:r>
        <w:t>A female has been delivered as the fetus is suspected of superior venous thrombus but the baby came out to be normal. What should be the expected finding in case of superficial venous thrombosis?</w:t>
      </w:r>
    </w:p>
    <w:p>
      <w:pPr>
        <w:spacing w:after="20" w:before="0"/>
      </w:pPr>
      <w:r>
        <w:rPr>
          <w:b w:val="0"/>
          <w:i w:val="0"/>
          <w:sz w:val="21"/>
        </w:rPr>
        <w:t>(a)  Superficial hard vein in calf</w:t>
      </w:r>
    </w:p>
    <w:p>
      <w:pPr>
        <w:spacing w:after="20" w:before="0"/>
      </w:pPr>
      <w:r>
        <w:rPr>
          <w:b w:val="0"/>
          <w:i w:val="0"/>
          <w:sz w:val="21"/>
        </w:rPr>
        <w:t>(b)  Superficial hard veins in the cerebral area</w:t>
      </w:r>
    </w:p>
    <w:p>
      <w:pPr>
        <w:spacing w:after="20" w:before="0"/>
      </w:pPr>
      <w:r>
        <w:rPr>
          <w:b w:val="0"/>
          <w:i w:val="0"/>
          <w:sz w:val="21"/>
        </w:rPr>
        <w:t>(c)  Pain in calf</w:t>
      </w:r>
    </w:p>
    <w:p>
      <w:pPr>
        <w:spacing w:after="20" w:before="0"/>
      </w:pPr>
      <w:r>
        <w:rPr>
          <w:b w:val="0"/>
          <w:i w:val="0"/>
          <w:sz w:val="21"/>
        </w:rPr>
        <w:t>(d)  Coolness at calf muscle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characteristic finding of SUPERFICIAL VENOUS THROMBOSIS is a PALPABLE HARD, CORD-LIKE (tender) superficial vein — classically in the calf or along a varicose vein. Pain and warmth are also present, but the hallmark objective finding is the firm palpable thrombosed vein. Cerebral involvement describes cerebral venous sinus thrombosis (a different entity).</w:t>
      </w:r>
    </w:p>
    <w:p>
      <w:pPr>
        <w:spacing w:after="20" w:before="0"/>
      </w:pPr>
      <w:r>
        <w:rPr>
          <w:b/>
        </w:rPr>
        <w:t xml:space="preserve">🔍 Key Clues: </w:t>
      </w:r>
      <w:r>
        <w:t>Superficial venous thrombosis → palpable hard, cord-like superficial vein.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Hard veins in the cerebral area describe cerebral venous thrombosis, not superficial limb venous thrombosis. | c — Calf pain is non-specific (also DVT) — the 'hard vein' is the specific sign. | d — Coolness suggests arterial insufficiency, not venous thrombosis (which is warm).</w:t>
      </w:r>
    </w:p>
    <w:p>
      <w:pPr>
        <w:spacing w:after="20" w:before="0"/>
      </w:pPr>
      <w:r>
        <w:rPr>
          <w:b/>
          <w:color w:val="B45F06"/>
        </w:rPr>
        <w:t xml:space="preserve">⚠️ Exam Trap: </w:t>
      </w:r>
      <w:r>
        <w:t>A firm, tender, palpable cord = superficial thrombophlebitis; DVT = calf swelling/redness with a positive Homan's.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Superficial venous thrombosis: hard, palpable cord along the vein.</w:t>
      </w:r>
    </w:p>
    <w:p>
      <w:pPr>
        <w:spacing w:after="0" w:before="0"/>
      </w:pPr>
      <w:r>
        <w:rPr>
          <w:b/>
          <w:i w:val="0"/>
          <w:sz w:val="21"/>
        </w:rPr>
        <w:t>Positive Marks: 1    Negative Marks: 0.25</w:t>
      </w:r>
    </w:p>
    <w:p>
      <w:pPr>
        <w:spacing w:before="280" w:after="40"/>
      </w:pPr>
      <w:r>
        <w:rPr>
          <w:b/>
        </w:rPr>
        <w:t xml:space="preserve">Question: </w:t>
      </w:r>
      <w:r>
        <w:t>A pt presented after fracture. Which stage is correct according to Wolff's law?</w:t>
      </w:r>
    </w:p>
    <w:p>
      <w:pPr>
        <w:spacing w:after="20" w:before="0"/>
      </w:pPr>
      <w:r>
        <w:rPr>
          <w:b w:val="0"/>
          <w:i w:val="0"/>
          <w:sz w:val="21"/>
        </w:rPr>
        <w:t>(a)  Ossification</w:t>
      </w:r>
    </w:p>
    <w:p>
      <w:pPr>
        <w:spacing w:after="20" w:before="0"/>
      </w:pPr>
      <w:r>
        <w:rPr>
          <w:b w:val="0"/>
          <w:i w:val="0"/>
          <w:sz w:val="21"/>
        </w:rPr>
        <w:t>(b)  Callus formation stage</w:t>
      </w:r>
    </w:p>
    <w:p>
      <w:pPr>
        <w:spacing w:after="20" w:before="0"/>
      </w:pPr>
      <w:r>
        <w:rPr>
          <w:b w:val="0"/>
          <w:i w:val="0"/>
          <w:sz w:val="21"/>
        </w:rPr>
        <w:t>(c)  Remodeling phase</w:t>
      </w:r>
    </w:p>
    <w:p>
      <w:pPr>
        <w:spacing w:after="20" w:before="0"/>
      </w:pPr>
      <w:r>
        <w:rPr>
          <w:b w:val="0"/>
          <w:i w:val="0"/>
          <w:sz w:val="21"/>
        </w:rPr>
        <w:t>(d)  Hematoma formation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WOLFF'S LAW states that bone adapts and remodels in response to the mechanical stress placed upon it — bone is laid down where needed and resorbed where not. The REMODELLING PHASE of fracture healing, which shapes the callus along lines of stress, best illustrates Wolff's law. Hematoma, callus and ossification are the earlier mechanical stages.</w:t>
      </w:r>
    </w:p>
    <w:p>
      <w:pPr>
        <w:spacing w:after="20" w:before="0"/>
      </w:pPr>
      <w:r>
        <w:rPr>
          <w:b/>
        </w:rPr>
        <w:t xml:space="preserve">🔍 Key Clues: </w:t>
      </w:r>
      <w:r>
        <w:t>Wolff's law = bone remodels to mechanical stress → remodelling phase.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Ossification is the deposition of new bone, not the stress-adaptive phase. | b — Callus formation is the bridging stage, not stress-directed remodelling. | d — Hematoma formation is the initial inflammatory stage.</w:t>
      </w:r>
    </w:p>
    <w:p>
      <w:pPr>
        <w:spacing w:after="20" w:before="0"/>
      </w:pPr>
      <w:r>
        <w:rPr>
          <w:b/>
          <w:color w:val="B45F06"/>
        </w:rPr>
        <w:t xml:space="preserve">⚠️ Exam Trap: </w:t>
      </w:r>
      <w:r>
        <w:t>Wolff's law is tested with 'remodelling/adaptation to stress'.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Wolff's law → remodelling phase of fracture healing.</w:t>
      </w:r>
    </w:p>
    <w:p>
      <w:pPr>
        <w:spacing w:after="0" w:before="0"/>
      </w:pPr>
      <w:r>
        <w:rPr>
          <w:b/>
          <w:i w:val="0"/>
          <w:sz w:val="21"/>
        </w:rPr>
        <w:t>Positive Marks: 1    Negative Marks: 0.25</w:t>
      </w:r>
    </w:p>
    <w:p>
      <w:pPr>
        <w:spacing w:before="280" w:after="40"/>
      </w:pPr>
      <w:r>
        <w:rPr>
          <w:b/>
        </w:rPr>
        <w:t xml:space="preserve">Question: </w:t>
      </w:r>
      <w:r>
        <w:t>What is the most common cause of Cushing syndrome?</w:t>
      </w:r>
    </w:p>
    <w:p>
      <w:pPr>
        <w:spacing w:after="20" w:before="0"/>
      </w:pPr>
      <w:r>
        <w:rPr>
          <w:b w:val="0"/>
          <w:i w:val="0"/>
          <w:sz w:val="21"/>
        </w:rPr>
        <w:t>(a)  Exogenous steroid</w:t>
      </w:r>
    </w:p>
    <w:p>
      <w:pPr>
        <w:spacing w:after="20" w:before="0"/>
      </w:pPr>
      <w:r>
        <w:rPr>
          <w:b w:val="0"/>
          <w:i w:val="0"/>
          <w:sz w:val="21"/>
        </w:rPr>
        <w:t>(b)  Adrenal tumor</w:t>
      </w:r>
    </w:p>
    <w:p>
      <w:pPr>
        <w:spacing w:after="20" w:before="0"/>
      </w:pPr>
      <w:r>
        <w:rPr>
          <w:b w:val="0"/>
          <w:i w:val="0"/>
          <w:sz w:val="21"/>
        </w:rPr>
        <w:t>(c)  Pituitary tumor</w:t>
      </w:r>
    </w:p>
    <w:p>
      <w:pPr>
        <w:spacing w:after="20" w:before="0"/>
      </w:pPr>
      <w:r>
        <w:rPr>
          <w:b w:val="0"/>
          <w:i w:val="0"/>
          <w:sz w:val="21"/>
        </w:rPr>
        <w:t>(d)  Ectopic foci ACTH</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MOST COMMON cause of Cushing SYNDROME (overall) is EXOGENOUS STEROID use (iatrogenic) — long-term glucocorticoid therapy. Among endogenous causes, a PITUITARY ACTH adenoma (Cushing's disease) is most common. Adrenal tumours and ectopic ACTH are less frequent endogenous causes.</w:t>
      </w:r>
    </w:p>
    <w:p>
      <w:pPr>
        <w:spacing w:after="20" w:before="0"/>
      </w:pPr>
      <w:r>
        <w:rPr>
          <w:b/>
        </w:rPr>
        <w:t xml:space="preserve">🔍 Key Clues: </w:t>
      </w:r>
      <w:r>
        <w:t>Cushing syndrome overall → exogenous steroids; endogenous → pituitary adenoma.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Adrenal tumours cause endogenous Cushing but are uncommon. | c — Pituitary adenoma is the most common ENDOGENOUS cause, not the overall most common. | d — Ectopic ACTH (e.g., small-cell lung cancer) is rare.</w:t>
      </w:r>
    </w:p>
    <w:p>
      <w:pPr>
        <w:spacing w:after="20" w:before="0"/>
      </w:pPr>
      <w:r>
        <w:rPr>
          <w:b/>
          <w:color w:val="B45F06"/>
        </w:rPr>
        <w:t xml:space="preserve">⚠️ Exam Trap: </w:t>
      </w:r>
      <w:r>
        <w:t>Cushing SYNDROME = exogenous steroids first; Cushing DISEASE = pituitary ACTH adenoma.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Most common cause of Cushing syndrome = exogenous steroids.</w:t>
      </w:r>
    </w:p>
    <w:p>
      <w:pPr>
        <w:spacing w:after="0" w:before="0"/>
      </w:pPr>
      <w:r>
        <w:rPr>
          <w:b/>
          <w:i w:val="0"/>
          <w:sz w:val="21"/>
        </w:rPr>
        <w:t>Positive Marks: 1    Negative Marks: 0.25</w:t>
      </w:r>
    </w:p>
    <w:p>
      <w:pPr>
        <w:spacing w:before="280" w:after="40"/>
      </w:pPr>
      <w:r>
        <w:rPr>
          <w:b/>
        </w:rPr>
        <w:t xml:space="preserve">Question: </w:t>
      </w:r>
      <w:r>
        <w:t>Which of the following is a sentinel event?</w:t>
      </w:r>
    </w:p>
    <w:p>
      <w:pPr>
        <w:spacing w:after="20" w:before="0"/>
      </w:pPr>
      <w:r>
        <w:rPr>
          <w:b w:val="0"/>
          <w:i w:val="0"/>
          <w:sz w:val="21"/>
        </w:rPr>
        <w:t>(a)  Minor pressure and redness on skin</w:t>
      </w:r>
    </w:p>
    <w:p>
      <w:pPr>
        <w:spacing w:after="20" w:before="0"/>
      </w:pPr>
      <w:r>
        <w:rPr>
          <w:b w:val="0"/>
          <w:i w:val="0"/>
          <w:sz w:val="21"/>
        </w:rPr>
        <w:t>(b)  Pt having injury after fall</w:t>
      </w:r>
    </w:p>
    <w:p>
      <w:pPr>
        <w:spacing w:after="20" w:before="0"/>
      </w:pPr>
      <w:r>
        <w:rPr>
          <w:b w:val="0"/>
          <w:i w:val="0"/>
          <w:sz w:val="21"/>
        </w:rPr>
        <w:t>(c)  Minor delay in medication</w:t>
      </w:r>
    </w:p>
    <w:p>
      <w:pPr>
        <w:spacing w:after="20" w:before="0"/>
      </w:pPr>
      <w:r>
        <w:rPr>
          <w:b w:val="0"/>
          <w:i w:val="0"/>
          <w:sz w:val="21"/>
        </w:rPr>
        <w:t>(d)  Delay in lab reports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SENTINEL EVENT is an unexpected event involving death or serious physical/psychological injury (e.g., a patient sustaining injury from a FALL, wrong-site surgery, medication error with death). A patient injured after a fall is a sentinel event requiring immediate root-cause analysis. Minor pressure redness, minor medication delay and lab delays are not sentinel events.</w:t>
      </w:r>
    </w:p>
    <w:p>
      <w:pPr>
        <w:spacing w:after="20" w:before="0"/>
      </w:pPr>
      <w:r>
        <w:rPr>
          <w:b/>
        </w:rPr>
        <w:t xml:space="preserve">🔍 Key Clues: </w:t>
      </w:r>
      <w:r>
        <w:t>Sentinel event = unexpected death/serious injury → fall with injury qualifies.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Minor pressure/redness is a stage-1 pressure injury precursor, not a sentinel event. | c — A minor medication delay without harm is not sentinel. | d — Lab report delay without patient harm is not a sentinel event.</w:t>
      </w:r>
    </w:p>
    <w:p>
      <w:pPr>
        <w:spacing w:after="20" w:before="0"/>
      </w:pPr>
      <w:r>
        <w:rPr>
          <w:b/>
          <w:color w:val="B45F06"/>
        </w:rPr>
        <w:t xml:space="preserve">⚠️ Exam Trap: </w:t>
      </w:r>
      <w:r>
        <w:t>Sentinel = serious injury/death — falls with injury, wrong-site surgery, transfusion errors.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Fall with injury = sentinel event → root cause analysis.</w:t>
      </w:r>
    </w:p>
    <w:p>
      <w:pPr>
        <w:spacing w:after="0" w:before="0"/>
      </w:pPr>
      <w:r>
        <w:rPr>
          <w:b/>
          <w:i w:val="0"/>
          <w:sz w:val="21"/>
        </w:rPr>
        <w:t>Positive Marks: 1    Negative Marks: 0.25</w:t>
      </w:r>
    </w:p>
    <w:p>
      <w:pPr>
        <w:spacing w:before="280" w:after="40"/>
      </w:pPr>
      <w:r>
        <w:rPr>
          <w:b/>
        </w:rPr>
        <w:t xml:space="preserve">Question: </w:t>
      </w:r>
      <w:r>
        <w:t>What is the cutoff of fasting blood glucose to diagnose diabetes mellitus?</w:t>
      </w:r>
    </w:p>
    <w:p>
      <w:pPr>
        <w:spacing w:after="20" w:before="0"/>
      </w:pPr>
      <w:r>
        <w:rPr>
          <w:b w:val="0"/>
          <w:i w:val="0"/>
          <w:sz w:val="21"/>
        </w:rPr>
        <w:t>(a)  &gt; 110 mg/dl</w:t>
      </w:r>
    </w:p>
    <w:p>
      <w:pPr>
        <w:spacing w:after="20" w:before="0"/>
      </w:pPr>
      <w:r>
        <w:rPr>
          <w:b w:val="0"/>
          <w:i w:val="0"/>
          <w:sz w:val="21"/>
        </w:rPr>
        <w:t>(b)  &gt; 140 mg/dl</w:t>
      </w:r>
    </w:p>
    <w:p>
      <w:pPr>
        <w:spacing w:after="20" w:before="0"/>
      </w:pPr>
      <w:r>
        <w:rPr>
          <w:b w:val="0"/>
          <w:i w:val="0"/>
          <w:sz w:val="21"/>
        </w:rPr>
        <w:t>(c)  &gt; 126 mg/dl</w:t>
      </w:r>
    </w:p>
    <w:p>
      <w:pPr>
        <w:spacing w:after="20" w:before="0"/>
      </w:pPr>
      <w:r>
        <w:rPr>
          <w:b w:val="0"/>
          <w:i w:val="0"/>
          <w:sz w:val="21"/>
        </w:rPr>
        <w:t>(d)  &gt; 200 mg/dl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Diabetes mellitus is diagnosed when the FASTING PLASMA GLUCOSE is ≥ 126 mg/dl (ADA/WHO criteria; the MCQ uses '&gt;126'). Impaired fasting glucose is 100–125 mg/dl (the &gt;110 value is the old impaired-fasting cutoff), and 200 mg/dl is the cutoff for a random/post-glucose (OGTT 2-hr) sample.</w:t>
      </w:r>
    </w:p>
    <w:p>
      <w:pPr>
        <w:spacing w:after="20" w:before="0"/>
      </w:pPr>
      <w:r>
        <w:rPr>
          <w:b/>
        </w:rPr>
        <w:t xml:space="preserve">🔍 Key Clues: </w:t>
      </w:r>
      <w:r>
        <w:t>Fasting glucose ≥ 126 mg/dl = diabetes; 100–125 = impaired fasting glucose.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&gt;110 is the OLD impaired fasting glucose cutoff, not diabetes. | b — &gt;140 is not a diagnostic cutoff for fasting glucose. | d — &gt;200 is the 2-hour OGTT/random glucose diabetes cutoff.</w:t>
      </w:r>
    </w:p>
    <w:p>
      <w:pPr>
        <w:spacing w:after="20" w:before="0"/>
      </w:pPr>
      <w:r>
        <w:rPr>
          <w:b/>
          <w:color w:val="B45F06"/>
        </w:rPr>
        <w:t xml:space="preserve">⚠️ Exam Trap: </w:t>
      </w:r>
      <w:r>
        <w:t>Fasting 126, random/2-hr OGTT 200, HbA1c 6.5% — memorise all three.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Diabetes: fasting ≥126, random ≥200, HbA1c ≥6.5%.</w:t>
      </w:r>
    </w:p>
    <w:p>
      <w:pPr>
        <w:spacing w:after="0" w:before="0"/>
      </w:pPr>
      <w:r>
        <w:rPr>
          <w:b/>
          <w:i w:val="0"/>
          <w:sz w:val="21"/>
        </w:rPr>
        <w:t>Positive Marks: 1    Negative Marks: 0.25</w:t>
      </w:r>
    </w:p>
    <w:p>
      <w:pPr>
        <w:spacing w:before="280" w:after="40"/>
      </w:pPr>
      <w:r>
        <w:rPr>
          <w:b/>
        </w:rPr>
        <w:t xml:space="preserve">Question: </w:t>
      </w:r>
      <w:r>
        <w:t>After kidney biopsy. Which of the following is the most common complication?</w:t>
      </w:r>
    </w:p>
    <w:p>
      <w:pPr>
        <w:spacing w:after="20" w:before="0"/>
      </w:pPr>
      <w:r>
        <w:rPr>
          <w:b w:val="0"/>
          <w:i w:val="0"/>
          <w:sz w:val="21"/>
        </w:rPr>
        <w:t>(a)  Fever</w:t>
      </w:r>
    </w:p>
    <w:p>
      <w:pPr>
        <w:spacing w:after="20" w:before="0"/>
      </w:pPr>
      <w:r>
        <w:rPr>
          <w:b w:val="0"/>
          <w:i w:val="0"/>
          <w:sz w:val="21"/>
        </w:rPr>
        <w:t>(b)  Bleeding</w:t>
      </w:r>
    </w:p>
    <w:p>
      <w:pPr>
        <w:spacing w:after="20" w:before="0"/>
      </w:pPr>
      <w:r>
        <w:rPr>
          <w:b w:val="0"/>
          <w:i w:val="0"/>
          <w:sz w:val="21"/>
        </w:rPr>
        <w:t>(c)  Pain</w:t>
      </w:r>
    </w:p>
    <w:p>
      <w:pPr>
        <w:spacing w:after="20" w:before="0"/>
      </w:pPr>
      <w:r>
        <w:rPr>
          <w:b w:val="0"/>
          <w:i w:val="0"/>
          <w:sz w:val="21"/>
        </w:rPr>
        <w:t>(d)  Constipation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most common complication of percutaneous kidney biopsy is BLEEDING — microscopic hematuria is almost universal, and clinically significant hemorrhage (gross hematuria, perinephric hematoma) occurs in a small percentage. Patients are observed for hematuria, flank pain, and falling BP after the biopsy.</w:t>
      </w:r>
    </w:p>
    <w:p>
      <w:pPr>
        <w:spacing w:after="20" w:before="0"/>
      </w:pPr>
      <w:r>
        <w:rPr>
          <w:b/>
        </w:rPr>
        <w:t xml:space="preserve">🔍 Key Clues: </w:t>
      </w:r>
      <w:r>
        <w:t>Kidney biopsy → bleeding is the most common complication.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Fever suggests infection, a less common complication. | c — Pain can occur but bleeding is the characteristic complication. | d — Constipation is unrelated to the procedure.</w:t>
      </w:r>
    </w:p>
    <w:p>
      <w:pPr>
        <w:spacing w:after="20" w:before="0"/>
      </w:pPr>
      <w:r>
        <w:rPr>
          <w:b/>
          <w:color w:val="B45F06"/>
        </w:rPr>
        <w:t xml:space="preserve">⚠️ Exam Trap: </w:t>
      </w:r>
      <w:r>
        <w:t>Post-biopsy: bed rest, pressure dressing, monitor for gross hematuria and hypotension.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Renal biopsy: bleeding/hematuria is the most common complication.</w:t>
      </w:r>
    </w:p>
    <w:p>
      <w:pPr>
        <w:spacing w:after="0" w:before="0"/>
      </w:pPr>
      <w:r>
        <w:rPr>
          <w:b/>
          <w:i w:val="0"/>
          <w:sz w:val="21"/>
        </w:rPr>
        <w:t>Positive Marks: 1    Negative Marks: 0.25</w:t>
      </w:r>
    </w:p>
    <w:p>
      <w:pPr>
        <w:spacing w:before="280" w:after="40"/>
      </w:pPr>
      <w:r>
        <w:rPr>
          <w:b/>
        </w:rPr>
        <w:t xml:space="preserve">Question: </w:t>
      </w:r>
      <w:r>
        <w:t>A pt underwent hip replacement, post-op he has been given enoxaparin for DVT prevention. 5 days later he has developed skin necrosis, platelet drop from 220000/mm3 to 20000/mm3. What will be the immediate nursing management?</w:t>
      </w:r>
    </w:p>
    <w:p>
      <w:pPr>
        <w:spacing w:after="20" w:before="0"/>
      </w:pPr>
      <w:r>
        <w:rPr>
          <w:b w:val="0"/>
          <w:i w:val="0"/>
          <w:sz w:val="21"/>
        </w:rPr>
        <w:t>(a)  Wait and watch</w:t>
      </w:r>
    </w:p>
    <w:p>
      <w:pPr>
        <w:spacing w:after="20" w:before="0"/>
      </w:pPr>
      <w:r>
        <w:rPr>
          <w:b w:val="0"/>
          <w:i w:val="0"/>
          <w:sz w:val="21"/>
        </w:rPr>
        <w:t>(b)  Platelet transfusion</w:t>
      </w:r>
    </w:p>
    <w:p>
      <w:pPr>
        <w:spacing w:after="20" w:before="0"/>
      </w:pPr>
      <w:r>
        <w:rPr>
          <w:b w:val="0"/>
          <w:i w:val="0"/>
          <w:sz w:val="21"/>
        </w:rPr>
        <w:t>(c)  Continue enoxaparin</w:t>
      </w:r>
    </w:p>
    <w:p>
      <w:pPr>
        <w:spacing w:after="20" w:before="0"/>
      </w:pPr>
      <w:r>
        <w:rPr>
          <w:b w:val="0"/>
          <w:i w:val="0"/>
          <w:sz w:val="21"/>
        </w:rPr>
        <w:t>(d)  Stop all heparin product and inform surgeon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Skin necrosis with a dramatic platelet drop (220,000 → 20,000) on enoxaparin = HEPARIN-INDUCED THROMBOCYTOPENIA (HIT) with thrombosis. The immediate management is to STOP ALL HEPARIN PRODUCTS (including enoxaparin/LMWH) and inform the surgeon — HIT is immune-mediated (PF4 antibodies) and continuing heparin is dangerous. Platelet transfusion is generally avoided in HIT.</w:t>
      </w:r>
    </w:p>
    <w:p>
      <w:pPr>
        <w:spacing w:after="20" w:before="0"/>
      </w:pPr>
      <w:r>
        <w:rPr>
          <w:b/>
        </w:rPr>
        <w:t xml:space="preserve">🔍 Key Clues: </w:t>
      </w:r>
      <w:r>
        <w:t>Platelet drop + skin necrosis on LMWH = HIT → stop ALL heparin products.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Waiting allows thrombosis progression in HIT. | b — Platelet transfusion is avoided in HIT (worsens thrombosis). | c — Continuing enoxaparin perpetuates the immune reaction.</w:t>
      </w:r>
    </w:p>
    <w:p>
      <w:pPr>
        <w:spacing w:after="20" w:before="0"/>
      </w:pPr>
      <w:r>
        <w:rPr>
          <w:b/>
          <w:color w:val="B45F06"/>
        </w:rPr>
        <w:t xml:space="preserve">⚠️ Exam Trap: </w:t>
      </w:r>
      <w:r>
        <w:t>HIT: stop heparin, start a non-heparin anticoagulant (fondaparinux/argatroban), avoid platelets.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HIT = stop all heparin products immediately.</w:t>
      </w:r>
    </w:p>
    <w:p>
      <w:pPr>
        <w:spacing w:after="0" w:before="0"/>
      </w:pPr>
      <w:r>
        <w:rPr>
          <w:b/>
          <w:i w:val="0"/>
          <w:sz w:val="21"/>
        </w:rPr>
        <w:t>Positive Marks: 1    Negative Marks: 0.25</w:t>
      </w:r>
    </w:p>
    <w:p>
      <w:pPr>
        <w:spacing w:before="280" w:after="40"/>
      </w:pPr>
      <w:r>
        <w:rPr>
          <w:b/>
        </w:rPr>
        <w:t xml:space="preserve">Question: </w:t>
      </w:r>
      <w:r>
        <w:t>A child is admitted with the following findings of hb 10 gm/dl, WBC 24000, platelet 20000. Which intervention will be the priority?</w:t>
      </w:r>
    </w:p>
    <w:p>
      <w:pPr>
        <w:spacing w:after="20" w:before="0"/>
      </w:pPr>
      <w:r>
        <w:rPr>
          <w:b w:val="0"/>
          <w:i w:val="0"/>
          <w:sz w:val="21"/>
        </w:rPr>
        <w:t>(a)  Pallor, tachycardia and fatigue</w:t>
      </w:r>
    </w:p>
    <w:p>
      <w:pPr>
        <w:spacing w:after="20" w:before="0"/>
      </w:pPr>
      <w:r>
        <w:rPr>
          <w:b w:val="0"/>
          <w:i w:val="0"/>
          <w:sz w:val="21"/>
        </w:rPr>
        <w:t>(b)  Fever</w:t>
      </w:r>
    </w:p>
    <w:p>
      <w:pPr>
        <w:spacing w:after="20" w:before="0"/>
      </w:pPr>
      <w:r>
        <w:rPr>
          <w:b w:val="0"/>
          <w:i w:val="0"/>
          <w:sz w:val="21"/>
        </w:rPr>
        <w:t>(c)  Bleeding or bruising precautions</w:t>
      </w:r>
    </w:p>
    <w:p>
      <w:pPr>
        <w:spacing w:after="20" w:before="0"/>
      </w:pPr>
      <w:r>
        <w:rPr>
          <w:b w:val="0"/>
          <w:i w:val="0"/>
          <w:sz w:val="21"/>
        </w:rPr>
        <w:t>(d)  Assess for nutrition status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platelet count of 20,000/mm3 is severe thrombocytopenia — the priority is BLEEDING/BRUISING PRECAUTIONS (avoid IM injections, use soft toothbrush, fall prevention, observe for petechiae/bleeding) to prevent life-threatening hemorrhage. WBC 24,000 also suggests infection, but the dangerously low platelets dictate the priority.</w:t>
      </w:r>
    </w:p>
    <w:p>
      <w:pPr>
        <w:spacing w:after="20" w:before="0"/>
      </w:pPr>
      <w:r>
        <w:rPr>
          <w:b/>
        </w:rPr>
        <w:t xml:space="preserve">🔍 Key Clues: </w:t>
      </w:r>
      <w:r>
        <w:t>Platelets 20,000 → bleeding precautions are the priority.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Pallor/tachycardia describe anemia symptoms, not the immediate threat. | b — Fever needs evaluation, but thrombocytopenia bleeding risk comes first. | d — Nutrition assessment is not the priority with severe thrombocytopenia.</w:t>
      </w:r>
    </w:p>
    <w:p>
      <w:pPr>
        <w:spacing w:after="20" w:before="0"/>
      </w:pPr>
      <w:r>
        <w:rPr>
          <w:b/>
          <w:color w:val="B45F06"/>
        </w:rPr>
        <w:t xml:space="preserve">⚠️ Exam Trap: </w:t>
      </w:r>
      <w:r>
        <w:t>Platelets &lt;20,000 = spontaneous bleeding risk — precautions first.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Severe thrombocytopenia → bleeding precautions.</w:t>
      </w:r>
    </w:p>
    <w:p>
      <w:pPr>
        <w:spacing w:after="0" w:before="0"/>
      </w:pPr>
      <w:r>
        <w:rPr>
          <w:b/>
          <w:i w:val="0"/>
          <w:sz w:val="21"/>
        </w:rPr>
        <w:t>Positive Marks: 1    Negative Marks: 0.25</w:t>
      </w:r>
    </w:p>
    <w:p>
      <w:pPr>
        <w:spacing w:before="280" w:after="40"/>
      </w:pPr>
      <w:r>
        <w:rPr>
          <w:b/>
        </w:rPr>
        <w:t xml:space="preserve">Question: </w:t>
      </w:r>
      <w:r>
        <w:t>A child uses a mobile phone for 10-12 hours daily for the past 14 months. There is a noticeable decline in academic performance and daily functioning. The child becomes aggressive when the phone is taken away. Which of the following conditions best explains this behavior?</w:t>
      </w:r>
    </w:p>
    <w:p>
      <w:pPr>
        <w:spacing w:after="20" w:before="0"/>
      </w:pPr>
      <w:r>
        <w:rPr>
          <w:b w:val="0"/>
          <w:i w:val="0"/>
          <w:sz w:val="21"/>
        </w:rPr>
        <w:t>(a)  ADHD</w:t>
      </w:r>
    </w:p>
    <w:p>
      <w:pPr>
        <w:spacing w:after="20" w:before="0"/>
      </w:pPr>
      <w:r>
        <w:rPr>
          <w:b w:val="0"/>
          <w:i w:val="0"/>
          <w:sz w:val="21"/>
        </w:rPr>
        <w:t>(b)  OCD</w:t>
      </w:r>
    </w:p>
    <w:p>
      <w:pPr>
        <w:spacing w:after="20" w:before="0"/>
      </w:pPr>
      <w:r>
        <w:rPr>
          <w:b w:val="0"/>
          <w:i w:val="0"/>
          <w:sz w:val="21"/>
        </w:rPr>
        <w:t>(c)  Impulse control disorder</w:t>
      </w:r>
    </w:p>
    <w:p>
      <w:pPr>
        <w:spacing w:after="20" w:before="0"/>
      </w:pPr>
      <w:r>
        <w:rPr>
          <w:b w:val="0"/>
          <w:i w:val="0"/>
          <w:sz w:val="21"/>
        </w:rPr>
        <w:t>(d)  Gaming disorder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Excessive, compulsive mobile/gaming use (10–12 hrs daily) with impaired academic and daily functioning, withdrawal/aggression when deprived = GAMING DISORDER (ICD-11: gaming behaviour with impaired control, increasing priority, continuation despite negative consequences). ADHD, OCD and impulse-control disorder do not capture the pattern of compulsive gaming with functional decline.</w:t>
      </w:r>
    </w:p>
    <w:p>
      <w:pPr>
        <w:spacing w:after="20" w:before="0"/>
      </w:pPr>
      <w:r>
        <w:rPr>
          <w:b/>
        </w:rPr>
        <w:t xml:space="preserve">🔍 Key Clues: </w:t>
      </w:r>
      <w:r>
        <w:t>10–12 h/day gaming + functional decline + aggression when deprived = gaming disorder.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ADHD features inattention/hyperactivity since childhood, not this onset pattern. | b — OCD has obsessions/compulsions (rituals), not gaming addiction. | c — Impulse-control disorder (e.g., intermittent explosive) lacks the gaming compulsion.</w:t>
      </w:r>
    </w:p>
    <w:p>
      <w:pPr>
        <w:spacing w:after="20" w:before="0"/>
      </w:pPr>
      <w:r>
        <w:rPr>
          <w:b/>
          <w:color w:val="B45F06"/>
        </w:rPr>
        <w:t xml:space="preserve">⚠️ Exam Trap: </w:t>
      </w:r>
      <w:r>
        <w:t>ICD-11 recognizes 'gaming disorder' — digital/gaming addiction with functional impairment.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Gaming disorder: impaired control + functional decline + withdrawal.</w:t>
      </w:r>
    </w:p>
    <w:p>
      <w:pPr>
        <w:spacing w:after="0" w:before="0"/>
      </w:pPr>
      <w:r>
        <w:rPr>
          <w:b/>
          <w:i w:val="0"/>
          <w:sz w:val="21"/>
        </w:rPr>
        <w:t>Positive Marks: 1    Negative Marks: 0.25</w:t>
      </w:r>
    </w:p>
    <w:p>
      <w:pPr>
        <w:spacing w:before="280" w:after="40"/>
      </w:pPr>
      <w:r>
        <w:rPr>
          <w:b/>
        </w:rPr>
        <w:t xml:space="preserve">Question: </w:t>
      </w:r>
      <w:r>
        <w:t>Under Anemia Mukt Bharat, what is the dose of iron and folic acid for pregnant female?</w:t>
      </w:r>
    </w:p>
    <w:p>
      <w:pPr>
        <w:spacing w:after="20" w:before="0"/>
      </w:pPr>
      <w:r>
        <w:rPr>
          <w:b w:val="0"/>
          <w:i w:val="0"/>
          <w:sz w:val="21"/>
        </w:rPr>
        <w:t>(a)  40 mg, 400 ug</w:t>
      </w:r>
    </w:p>
    <w:p>
      <w:pPr>
        <w:spacing w:after="20" w:before="0"/>
      </w:pPr>
      <w:r>
        <w:rPr>
          <w:b w:val="0"/>
          <w:i w:val="0"/>
          <w:sz w:val="21"/>
        </w:rPr>
        <w:t>(b)  60 mg, 500 ug</w:t>
      </w:r>
    </w:p>
    <w:p>
      <w:pPr>
        <w:spacing w:after="20" w:before="0"/>
      </w:pPr>
      <w:r>
        <w:rPr>
          <w:b w:val="0"/>
          <w:i w:val="0"/>
          <w:sz w:val="21"/>
        </w:rPr>
        <w:t>(c)  45 mg, 400 ug</w:t>
      </w:r>
    </w:p>
    <w:p>
      <w:pPr>
        <w:spacing w:after="20" w:before="0"/>
      </w:pPr>
      <w:r>
        <w:rPr>
          <w:b w:val="0"/>
          <w:i w:val="0"/>
          <w:sz w:val="21"/>
        </w:rPr>
        <w:t>(d)  20 mg, 500 ug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Under ANEMIA MUKT BHARAT, the IFA tablet for pregnant and lactating women contains 60 mg elemental iron + 500 mcg folic acid (given daily from the second trimester, and continued through lactation). The same 60 mg + 500 mcg tablet is used for women of reproductive age in the weekly supplementation.</w:t>
      </w:r>
    </w:p>
    <w:p>
      <w:pPr>
        <w:spacing w:after="20" w:before="0"/>
      </w:pPr>
      <w:r>
        <w:rPr>
          <w:b/>
        </w:rPr>
        <w:t xml:space="preserve">🔍 Key Clues: </w:t>
      </w:r>
      <w:r>
        <w:t>AMB IFA tablet = 60 mg elemental iron + 500 mcg folic acid.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40 mg/400 mcg is not the AMB pregnancy tablet. | c — 45 mg/400 mcg is not the standard AMB dose. | d — 20 mg/500 mcg is not the AMB dose for pregnant women.</w:t>
      </w:r>
    </w:p>
    <w:p>
      <w:pPr>
        <w:spacing w:after="20" w:before="0"/>
      </w:pPr>
      <w:r>
        <w:rPr>
          <w:b/>
          <w:color w:val="B45F06"/>
        </w:rPr>
        <w:t xml:space="preserve">⚠️ Exam Trap: </w:t>
      </w:r>
      <w:r>
        <w:t>AMB: pregnant/lactating women get 60 mg Fe + 500 mcg FA daily from the 2nd trimester.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Anemia Mukt Bharat IFA = 60 mg iron + 500 mcg folic acid.</w:t>
      </w:r>
    </w:p>
    <w:p>
      <w:pPr>
        <w:spacing w:after="0" w:before="0"/>
      </w:pPr>
      <w:r>
        <w:rPr>
          <w:b/>
          <w:i w:val="0"/>
          <w:sz w:val="21"/>
        </w:rPr>
        <w:t>Positive Marks: 1    Negative Marks: 0.25</w:t>
      </w:r>
    </w:p>
    <w:p>
      <w:pPr>
        <w:spacing w:before="280" w:after="40"/>
      </w:pPr>
      <w:r>
        <w:rPr>
          <w:b/>
        </w:rPr>
        <w:t xml:space="preserve">Question: </w:t>
      </w:r>
      <w:r>
        <w:t>A 2 year old child develops respiratory distress. What is the cutoff value of tachypnea in this child?</w:t>
      </w:r>
    </w:p>
    <w:p>
      <w:pPr>
        <w:spacing w:after="20" w:before="0"/>
      </w:pPr>
      <w:r>
        <w:rPr>
          <w:b w:val="0"/>
          <w:i w:val="0"/>
          <w:sz w:val="21"/>
        </w:rPr>
        <w:t>(a)  More than 50</w:t>
      </w:r>
    </w:p>
    <w:p>
      <w:pPr>
        <w:spacing w:after="20" w:before="0"/>
      </w:pPr>
      <w:r>
        <w:rPr>
          <w:b w:val="0"/>
          <w:i w:val="0"/>
          <w:sz w:val="21"/>
        </w:rPr>
        <w:t>(b)  More than 40</w:t>
      </w:r>
    </w:p>
    <w:p>
      <w:pPr>
        <w:spacing w:after="20" w:before="0"/>
      </w:pPr>
      <w:r>
        <w:rPr>
          <w:b w:val="0"/>
          <w:i w:val="0"/>
          <w:sz w:val="21"/>
        </w:rPr>
        <w:t>(c)  More than 20</w:t>
      </w:r>
    </w:p>
    <w:p>
      <w:pPr>
        <w:spacing w:after="20" w:before="0"/>
      </w:pPr>
      <w:r>
        <w:rPr>
          <w:b w:val="0"/>
          <w:i w:val="0"/>
          <w:sz w:val="21"/>
        </w:rPr>
        <w:t>(d)  More than 30</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WHO/IMNCI, tachypnea is defined as a respiratory rate ABOVE 40/min in a child aged 1–5 YEARS (the 2-year-old belongs here). For infants 2–12 months the cutoff is &gt;50/min, and for neonates &gt;60/min. A respiratory rate &gt;40 in a 2-year-old indicates tachypnea and possible pneumonia.</w:t>
      </w:r>
    </w:p>
    <w:p>
      <w:pPr>
        <w:spacing w:after="20" w:before="0"/>
      </w:pPr>
      <w:r>
        <w:rPr>
          <w:b/>
        </w:rPr>
        <w:t xml:space="preserve">🔍 Key Clues: </w:t>
      </w:r>
      <w:r>
        <w:t>1–5 years: RR &gt; 40 = tachypnea; 2–12 months: &gt;50; neonate: &gt;60.</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&gt;50 is the cutoff for infants under 1 year (2–12 months). | c — &gt;20 is far too low for the pediatric tachypnea cutoff. | d — &gt;30 is not the IMNCI cutoff for any pediatric age band.</w:t>
      </w:r>
    </w:p>
    <w:p>
      <w:pPr>
        <w:spacing w:after="20" w:before="0"/>
      </w:pPr>
      <w:r>
        <w:rPr>
          <w:b/>
          <w:color w:val="B45F06"/>
        </w:rPr>
        <w:t xml:space="preserve">⚠️ Exam Trap: </w:t>
      </w:r>
      <w:r>
        <w:t>Age bands: &lt;2 mo &gt;60, 2–12 mo &gt;50, 1–5 yr &gt;40.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2-year-old tachypnea = RR &gt; 40/min.</w:t>
      </w:r>
    </w:p>
    <w:p>
      <w:pPr>
        <w:spacing w:after="0" w:before="0"/>
      </w:pPr>
      <w:r>
        <w:rPr>
          <w:b/>
          <w:i w:val="0"/>
          <w:sz w:val="21"/>
        </w:rPr>
        <w:t>Positive Marks: 1    Negative Marks: 0.25</w:t>
      </w:r>
    </w:p>
    <w:p>
      <w:pPr>
        <w:spacing w:before="280" w:after="40"/>
      </w:pPr>
      <w:r>
        <w:rPr>
          <w:b/>
        </w:rPr>
        <w:t xml:space="preserve">Question: </w:t>
      </w:r>
      <w:r>
        <w:t>In pt of Celiac disease which food needs to be avoided?</w:t>
      </w:r>
    </w:p>
    <w:p>
      <w:pPr>
        <w:spacing w:after="20" w:before="0"/>
      </w:pPr>
      <w:r>
        <w:rPr>
          <w:b w:val="0"/>
          <w:i w:val="0"/>
          <w:sz w:val="21"/>
        </w:rPr>
        <w:t>(a)  Rice</w:t>
      </w:r>
    </w:p>
    <w:p>
      <w:pPr>
        <w:spacing w:after="20" w:before="0"/>
      </w:pPr>
      <w:r>
        <w:rPr>
          <w:b w:val="0"/>
          <w:i w:val="0"/>
          <w:sz w:val="21"/>
        </w:rPr>
        <w:t>(b)  Wheat</w:t>
      </w:r>
    </w:p>
    <w:p>
      <w:pPr>
        <w:spacing w:after="20" w:before="0"/>
      </w:pPr>
      <w:r>
        <w:rPr>
          <w:b w:val="0"/>
          <w:i w:val="0"/>
          <w:sz w:val="21"/>
        </w:rPr>
        <w:t>(c)  Bread</w:t>
      </w:r>
    </w:p>
    <w:p>
      <w:pPr>
        <w:spacing w:after="20" w:before="0"/>
      </w:pPr>
      <w:r>
        <w:rPr>
          <w:b w:val="0"/>
          <w:i w:val="0"/>
          <w:sz w:val="21"/>
        </w:rPr>
        <w:t>(d)  Corn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CELIAC DISEASE, gluten must be avoided — WHEAT (and barley, rye) are the gluten-containing grains. Bread is also gluten-based, but WHEAT is the specific grain named in the options and the direct answer. Rice and corn are gluten-free and safe.</w:t>
      </w:r>
    </w:p>
    <w:p>
      <w:pPr>
        <w:spacing w:after="20" w:before="0"/>
      </w:pPr>
      <w:r>
        <w:rPr>
          <w:b/>
        </w:rPr>
        <w:t xml:space="preserve">🔍 Key Clues: </w:t>
      </w:r>
      <w:r>
        <w:t>Celiac = gluten-free → avoid wheat (barley, rye).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Rice is gluten-free and safe in celiac disease. | c — Bread contains gluten (wheat), but 'wheat' is the precise gluten source listed. | d — Corn is gluten-free and safe.</w:t>
      </w:r>
    </w:p>
    <w:p>
      <w:pPr>
        <w:spacing w:after="20" w:before="0"/>
      </w:pPr>
      <w:r>
        <w:rPr>
          <w:b/>
          <w:color w:val="B45F06"/>
        </w:rPr>
        <w:t xml:space="preserve">⚠️ Exam Trap: </w:t>
      </w:r>
      <w:r>
        <w:t>Gluten = wheat, barley, rye; safe grains = rice, corn, millet, quinoa.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Celiac diet: no wheat/gluten; rice and corn are safe.</w:t>
      </w:r>
    </w:p>
    <w:p>
      <w:pPr>
        <w:spacing w:after="0" w:before="0"/>
      </w:pPr>
      <w:r>
        <w:rPr>
          <w:b/>
          <w:i w:val="0"/>
          <w:sz w:val="21"/>
        </w:rPr>
        <w:t>Positive Marks: 1    Negative Marks: 0.25</w:t>
      </w:r>
    </w:p>
    <w:p>
      <w:pPr>
        <w:spacing w:before="280" w:after="40"/>
      </w:pPr>
      <w:r>
        <w:rPr>
          <w:b/>
        </w:rPr>
        <w:t xml:space="preserve">Question: </w:t>
      </w:r>
      <w:r>
        <w:t>Most important intervention before starting blood transfusion?</w:t>
      </w:r>
    </w:p>
    <w:p>
      <w:pPr>
        <w:spacing w:after="20" w:before="0"/>
      </w:pPr>
      <w:r>
        <w:rPr>
          <w:b w:val="0"/>
          <w:i w:val="0"/>
          <w:sz w:val="21"/>
        </w:rPr>
        <w:t>(a)  Warming the blood 2 hours before transfusion</w:t>
      </w:r>
    </w:p>
    <w:p>
      <w:pPr>
        <w:spacing w:after="20" w:before="0"/>
      </w:pPr>
      <w:r>
        <w:rPr>
          <w:b w:val="0"/>
          <w:i w:val="0"/>
          <w:sz w:val="21"/>
        </w:rPr>
        <w:t>(b)  Take vitals 1 hr prior to transfusion</w:t>
      </w:r>
    </w:p>
    <w:p>
      <w:pPr>
        <w:spacing w:after="20" w:before="0"/>
      </w:pPr>
      <w:r>
        <w:rPr>
          <w:b w:val="0"/>
          <w:i w:val="0"/>
          <w:sz w:val="21"/>
        </w:rPr>
        <w:t>(c)  Confirming the blood product and pt identity with another nurse</w:t>
      </w:r>
    </w:p>
    <w:p>
      <w:pPr>
        <w:spacing w:after="20" w:before="0"/>
      </w:pPr>
      <w:r>
        <w:rPr>
          <w:b w:val="0"/>
          <w:i w:val="0"/>
          <w:sz w:val="21"/>
        </w:rPr>
        <w:t>(d)  Give prophylactic anti-allergic meds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MOST IMPORTANT step before starting a transfusion is the two-nurse VERIFICATION of the blood product, patient identity, blood group/type and expiry — mis-transfusion is a fatal, preventable error. Baseline vitals are taken immediately before (not 1 hour prior), blood is not pre-warmed routinely, and anti-allergics are given only by protocol.</w:t>
      </w:r>
    </w:p>
    <w:p>
      <w:pPr>
        <w:spacing w:after="20" w:before="0"/>
      </w:pPr>
      <w:r>
        <w:rPr>
          <w:b/>
        </w:rPr>
        <w:t xml:space="preserve">🔍 Key Clues: </w:t>
      </w:r>
      <w:r>
        <w:t>Transfusion safety begins with two-nurse verification of patient + product.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Blood is warmed only in specific situations (massive transfusion), never '2 hours before'. | b — Baseline vitals are taken right before transfusion, not an hour earlier. | d — Prophylactic anti-allergics are not routine for all transfusions.</w:t>
      </w:r>
    </w:p>
    <w:p>
      <w:pPr>
        <w:spacing w:after="20" w:before="0"/>
      </w:pPr>
      <w:r>
        <w:rPr>
          <w:b/>
          <w:color w:val="B45F06"/>
        </w:rPr>
        <w:t xml:space="preserve">⚠️ Exam Trap: </w:t>
      </w:r>
      <w:r>
        <w:t>The #1 transfusion error is giving blood to the wrong patient — verification is paramount.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Before transfusion: verify patient + product with two nurses.</w:t>
      </w:r>
    </w:p>
    <w:p>
      <w:pPr>
        <w:spacing w:after="0" w:before="0"/>
      </w:pPr>
      <w:r>
        <w:rPr>
          <w:b/>
          <w:i w:val="0"/>
          <w:sz w:val="21"/>
        </w:rPr>
        <w:t>Positive Marks: 1    Negative Marks: 0.25</w:t>
      </w:r>
    </w:p>
    <w:p>
      <w:pPr>
        <w:spacing w:before="280" w:after="40"/>
      </w:pPr>
      <w:r>
        <w:rPr>
          <w:b/>
        </w:rPr>
        <w:t xml:space="preserve">Question: </w:t>
      </w:r>
      <w:r>
        <w:t>You have been called to assess in log rolling. What does log rolling means?</w:t>
      </w:r>
    </w:p>
    <w:p>
      <w:pPr>
        <w:spacing w:after="20" w:before="0"/>
      </w:pPr>
      <w:r>
        <w:rPr>
          <w:b w:val="0"/>
          <w:i w:val="0"/>
          <w:sz w:val="21"/>
        </w:rPr>
        <w:t>(a)  To maintain spinal alignment and airway protection</w:t>
      </w:r>
    </w:p>
    <w:p>
      <w:pPr>
        <w:spacing w:after="20" w:before="0"/>
      </w:pPr>
      <w:r>
        <w:rPr>
          <w:b w:val="0"/>
          <w:i w:val="0"/>
          <w:sz w:val="21"/>
        </w:rPr>
        <w:t>(b)  Hemorrhage control</w:t>
      </w:r>
    </w:p>
    <w:p>
      <w:pPr>
        <w:spacing w:after="20" w:before="0"/>
      </w:pPr>
      <w:r>
        <w:rPr>
          <w:b w:val="0"/>
          <w:i w:val="0"/>
          <w:sz w:val="21"/>
        </w:rPr>
        <w:t>(c)  Spinal rigid board</w:t>
      </w:r>
    </w:p>
    <w:p>
      <w:pPr>
        <w:spacing w:after="20" w:before="0"/>
      </w:pPr>
      <w:r>
        <w:rPr>
          <w:b w:val="0"/>
          <w:i w:val="0"/>
          <w:sz w:val="21"/>
        </w:rPr>
        <w:t>(d)  Rapid repositioning of the patient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LOG ROLLING is a technique of turning a patient as a SINGLE UNIT — head, trunk and legs move together — to MAINTAIN SPINAL ALIGNMENT and protect the airway/spine (used after spinal injury or spinal surgery). It prevents twisting of the vertebral column. It is not hemorrhage control or merely placing a rigid board.</w:t>
      </w:r>
    </w:p>
    <w:p>
      <w:pPr>
        <w:spacing w:after="20" w:before="0"/>
      </w:pPr>
      <w:r>
        <w:rPr>
          <w:b/>
        </w:rPr>
        <w:t xml:space="preserve">🔍 Key Clues: </w:t>
      </w:r>
      <w:r>
        <w:t>Log rolling = turning the body as one unit to protect the spine.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Hemorrhage control is unrelated to log rolling. | c — A rigid board is a transport device; log rolling is the turning maneuver. | d — 'Rapid repositioning' is the opposite — log rolling is slow and coordinated.</w:t>
      </w:r>
    </w:p>
    <w:p>
      <w:pPr>
        <w:spacing w:after="20" w:before="0"/>
      </w:pPr>
      <w:r>
        <w:rPr>
          <w:b/>
          <w:color w:val="B45F06"/>
        </w:rPr>
        <w:t xml:space="preserve">⚠️ Exam Trap: </w:t>
      </w:r>
      <w:r>
        <w:t>Log rolling = the maneuver; spine board = the equipment; don't confuse the two.</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Log rolling: turn as a unit, spine aligned.</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