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In which color bag Placenta is discarded?</w:t>
      </w:r>
    </w:p>
    <w:p>
      <w:pPr>
        <w:spacing w:after="20" w:before="0"/>
      </w:pPr>
      <w:r>
        <w:rPr>
          <w:b w:val="0"/>
          <w:i w:val="0"/>
          <w:sz w:val="21"/>
        </w:rPr>
        <w:t>(a)  Red</w:t>
      </w:r>
    </w:p>
    <w:p>
      <w:pPr>
        <w:spacing w:after="20" w:before="0"/>
      </w:pPr>
      <w:r>
        <w:rPr>
          <w:b w:val="0"/>
          <w:i w:val="0"/>
          <w:sz w:val="21"/>
        </w:rPr>
        <w:t>(b)  Yellow</w:t>
      </w:r>
    </w:p>
    <w:p>
      <w:pPr>
        <w:spacing w:after="20" w:before="0"/>
      </w:pPr>
      <w:r>
        <w:rPr>
          <w:b w:val="0"/>
          <w:i w:val="0"/>
          <w:sz w:val="21"/>
        </w:rPr>
        <w:t>(c)  Blue</w:t>
      </w:r>
    </w:p>
    <w:p>
      <w:pPr>
        <w:spacing w:after="20" w:before="0"/>
      </w:pPr>
      <w:r>
        <w:rPr>
          <w:b w:val="0"/>
          <w:i w:val="0"/>
          <w:sz w:val="21"/>
        </w:rPr>
        <w:t>(d)  Black</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placenta is human anatomical waste (body tissue). As per the Biomedical Waste Management Rules it is discarded in the YELLOW bag/cart along with other human anatomical and infected waste.</w:t>
      </w:r>
    </w:p>
    <w:p>
      <w:pPr>
        <w:spacing w:after="20" w:before="0"/>
      </w:pPr>
      <w:r>
        <w:rPr>
          <w:b/>
        </w:rPr>
        <w:t xml:space="preserve">🔍 Key Clues: </w:t>
      </w:r>
      <w:r>
        <w:t>Placenta = body tissue = anatomical waste → YELLOW bag.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Red is for contaminated recyclable plastics/rubber. | c — Blue/white is for glass and sharps. | d — Black is for non-hazardous municipal waste.</w:t>
      </w:r>
    </w:p>
    <w:p>
      <w:pPr>
        <w:spacing w:after="20" w:before="0"/>
      </w:pPr>
      <w:r>
        <w:rPr>
          <w:b/>
          <w:color w:val="B45F06"/>
        </w:rPr>
        <w:t xml:space="preserve">⚠️ Exam Trap: </w:t>
      </w:r>
      <w:r>
        <w:t>Yellow = anatomical + infected waste; Red = plastics; Blue/White = glass &amp; sharps; Black = municipal.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Placenta / body parts → Yellow bag (BMW Rules).</w:t>
      </w:r>
    </w:p>
    <w:p>
      <w:pPr>
        <w:spacing w:after="0" w:before="0"/>
      </w:pPr>
      <w:r>
        <w:rPr>
          <w:b/>
          <w:i w:val="0"/>
          <w:sz w:val="21"/>
        </w:rPr>
        <w:t>Positive Marks: 1    Negative Marks: 0.25</w:t>
      </w:r>
    </w:p>
    <w:p>
      <w:pPr>
        <w:spacing w:before="280" w:after="40"/>
      </w:pPr>
      <w:r>
        <w:rPr>
          <w:b/>
        </w:rPr>
        <w:t xml:space="preserve">Question: </w:t>
      </w:r>
      <w:r>
        <w:t>Which measure is used for growth monitoring at Anganwadi center?</w:t>
      </w:r>
    </w:p>
    <w:p>
      <w:pPr>
        <w:spacing w:after="20" w:before="0"/>
      </w:pPr>
      <w:r>
        <w:rPr>
          <w:b w:val="0"/>
          <w:i w:val="0"/>
          <w:sz w:val="21"/>
        </w:rPr>
        <w:t>(a)  Weight for height</w:t>
      </w:r>
    </w:p>
    <w:p>
      <w:pPr>
        <w:spacing w:after="20" w:before="0"/>
      </w:pPr>
      <w:r>
        <w:rPr>
          <w:b w:val="0"/>
          <w:i w:val="0"/>
          <w:sz w:val="21"/>
        </w:rPr>
        <w:t>(b)  MUAC</w:t>
      </w:r>
    </w:p>
    <w:p>
      <w:pPr>
        <w:spacing w:after="20" w:before="0"/>
      </w:pPr>
      <w:r>
        <w:rPr>
          <w:b w:val="0"/>
          <w:i w:val="0"/>
          <w:sz w:val="21"/>
        </w:rPr>
        <w:t>(c)  Skin fold thicknesses</w:t>
      </w:r>
    </w:p>
    <w:p>
      <w:pPr>
        <w:spacing w:after="20" w:before="0"/>
      </w:pPr>
      <w:r>
        <w:rPr>
          <w:b w:val="0"/>
          <w:i w:val="0"/>
          <w:sz w:val="21"/>
        </w:rPr>
        <w:t>(d)  Weight for age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At Anganwadi (ICDS) centres, growth monitoring is done by serial monthly WEIGHT-FOR-AGE recording on the growth chart. MUAC and weight-for-height are used for acute malnutrition screening (SAM/MAM), not routine growth monitoring.</w:t>
      </w:r>
    </w:p>
    <w:p>
      <w:pPr>
        <w:spacing w:after="20" w:before="0"/>
      </w:pPr>
      <w:r>
        <w:rPr>
          <w:b/>
        </w:rPr>
        <w:t xml:space="preserve">🔍 Key Clues: </w:t>
      </w:r>
      <w:r>
        <w:t>Anganwadi growth chart = weight-for-age, plotted monthly.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Weight-for-height detects acute malnutrition/wasting. | b — MUAC is a screening tool for SAM/MAM. | c — Skin-fold thickness measures body fat — research setting.</w:t>
      </w:r>
    </w:p>
    <w:p>
      <w:pPr>
        <w:spacing w:after="20" w:before="0"/>
      </w:pPr>
      <w:r>
        <w:rPr>
          <w:b/>
          <w:color w:val="B45F06"/>
        </w:rPr>
        <w:t xml:space="preserve">⚠️ Exam Trap: </w:t>
      </w:r>
      <w:r>
        <w:t>Routine growth monitoring = weight-for-age; acute malnutrition screening = MUAC / weight-for-height.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Anganwadi growth monitoring = weight-for-age on the growth chart.</w:t>
      </w:r>
    </w:p>
    <w:p>
      <w:pPr>
        <w:spacing w:after="0" w:before="0"/>
      </w:pPr>
      <w:r>
        <w:rPr>
          <w:b/>
          <w:i w:val="0"/>
          <w:sz w:val="21"/>
        </w:rPr>
        <w:t>Positive Marks: 1    Negative Marks: 0.25</w:t>
      </w:r>
    </w:p>
    <w:p>
      <w:pPr>
        <w:spacing w:before="280" w:after="40"/>
      </w:pPr>
      <w:r>
        <w:rPr>
          <w:b/>
        </w:rPr>
        <w:t xml:space="preserve">Question: </w:t>
      </w:r>
      <w:r>
        <w:t>Which of the following is not a sign of good attachment?</w:t>
      </w:r>
    </w:p>
    <w:p>
      <w:pPr>
        <w:spacing w:after="20" w:before="0"/>
      </w:pPr>
      <w:r>
        <w:rPr>
          <w:b w:val="0"/>
          <w:i w:val="0"/>
          <w:sz w:val="21"/>
        </w:rPr>
        <w:t>(a)  Upper side areola more exposed than lower</w:t>
      </w:r>
    </w:p>
    <w:p>
      <w:pPr>
        <w:spacing w:after="20" w:before="0"/>
      </w:pPr>
      <w:r>
        <w:rPr>
          <w:b w:val="0"/>
          <w:i w:val="0"/>
          <w:sz w:val="21"/>
        </w:rPr>
        <w:t>(b)  Widely open mouth</w:t>
      </w:r>
    </w:p>
    <w:p>
      <w:pPr>
        <w:spacing w:after="20" w:before="0"/>
      </w:pPr>
      <w:r>
        <w:rPr>
          <w:b w:val="0"/>
          <w:i w:val="0"/>
          <w:sz w:val="21"/>
        </w:rPr>
        <w:t>(c)  Chin touches the breast</w:t>
      </w:r>
    </w:p>
    <w:p>
      <w:pPr>
        <w:spacing w:after="20" w:before="0"/>
      </w:pPr>
      <w:r>
        <w:rPr>
          <w:b w:val="0"/>
          <w:i w:val="0"/>
          <w:sz w:val="21"/>
        </w:rPr>
        <w:t>(d)  Lower lip move inward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Signs of GOOD breastfeeding attachment: chin touching the breast, mouth wide open, lower lip turned OUTWARD (everted), more areola visible above than below the mouth. The LOWER LIP moving inward (tucked) is a sign of POOR attachment, not good attachment.</w:t>
      </w:r>
    </w:p>
    <w:p>
      <w:pPr>
        <w:spacing w:after="20" w:before="0"/>
      </w:pPr>
      <w:r>
        <w:rPr>
          <w:b/>
        </w:rPr>
        <w:t xml:space="preserve">🔍 Key Clues: </w:t>
      </w:r>
      <w:r>
        <w:t>Good attachment = wide mouth, chin on breast, lower lip everted — 'inward' lip = poor.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More areola above than below = correct (good attachment). | b — Widely open mouth = correct (good attachment). | c — Chin touching the breast = correct (good attachment).</w:t>
      </w:r>
    </w:p>
    <w:p>
      <w:pPr>
        <w:spacing w:after="20" w:before="0"/>
      </w:pPr>
      <w:r>
        <w:rPr>
          <w:b/>
          <w:color w:val="B45F06"/>
        </w:rPr>
        <w:t xml:space="preserve">⚠️ Exam Trap: </w:t>
      </w:r>
      <w:r>
        <w:t>Lower lip should be turned OUTWARD like a 'fish mouth' — inward means poor latch.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Good attachment: wide mouth, chin on breast, lower lip everted, more areola above.</w:t>
      </w:r>
    </w:p>
    <w:p>
      <w:pPr>
        <w:spacing w:after="0" w:before="0"/>
      </w:pPr>
      <w:r>
        <w:rPr>
          <w:b/>
          <w:i w:val="0"/>
          <w:sz w:val="21"/>
        </w:rPr>
        <w:t>Positive Marks: 1    Negative Marks: 0.25</w:t>
      </w:r>
    </w:p>
    <w:p>
      <w:pPr>
        <w:spacing w:before="280" w:after="40"/>
      </w:pPr>
      <w:r>
        <w:rPr>
          <w:b/>
        </w:rPr>
        <w:t xml:space="preserve">Question: </w:t>
      </w:r>
      <w:r>
        <w:t>What is the range of MUAC for malnutrition?</w:t>
      </w:r>
    </w:p>
    <w:p>
      <w:pPr>
        <w:spacing w:after="20" w:before="0"/>
      </w:pPr>
      <w:r>
        <w:rPr>
          <w:b w:val="0"/>
          <w:i w:val="0"/>
          <w:sz w:val="21"/>
        </w:rPr>
        <w:t>(a)  &lt;12.5 cm</w:t>
      </w:r>
    </w:p>
    <w:p>
      <w:pPr>
        <w:spacing w:after="20" w:before="0"/>
      </w:pPr>
      <w:r>
        <w:rPr>
          <w:b w:val="0"/>
          <w:i w:val="0"/>
          <w:sz w:val="21"/>
        </w:rPr>
        <w:t>(b)  &lt;11.5 cm</w:t>
      </w:r>
    </w:p>
    <w:p>
      <w:pPr>
        <w:spacing w:after="20" w:before="0"/>
      </w:pPr>
      <w:r>
        <w:rPr>
          <w:b w:val="0"/>
          <w:i w:val="0"/>
          <w:sz w:val="21"/>
        </w:rPr>
        <w:t>(c)  &lt;13.5 cm</w:t>
      </w:r>
    </w:p>
    <w:p>
      <w:pPr>
        <w:spacing w:after="20" w:before="0"/>
      </w:pPr>
      <w:r>
        <w:rPr>
          <w:b w:val="0"/>
          <w:i w:val="0"/>
          <w:sz w:val="21"/>
        </w:rPr>
        <w:t>(d)  &lt;14.5 cm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children 6–59 months: MUAC ≥ 12.5 cm = normal; 11.5–12.5 cm = moderate acute malnutrition (MAM); &lt; 11.5 cm = severe acute malnutrition (SAM). Thus &lt; 12.5 cm marks the onset of malnutrition (MAM), which is the exam answer.</w:t>
      </w:r>
    </w:p>
    <w:p>
      <w:pPr>
        <w:spacing w:after="20" w:before="0"/>
      </w:pPr>
      <w:r>
        <w:rPr>
          <w:b/>
        </w:rPr>
        <w:t xml:space="preserve">🔍 Key Clues: </w:t>
      </w:r>
      <w:r>
        <w:t>MUAC: &lt;12.5 = MAM; &lt;11.5 = SAM — 'less than 12.5 means malnourished'.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&lt;11.5 cm is the SAM cut-off, a stricter subset. | c — &lt;13.5 cm is above the normal cut-off. | d — &lt;14.5 cm includes normal children.</w:t>
      </w:r>
    </w:p>
    <w:p>
      <w:pPr>
        <w:spacing w:after="20" w:before="0"/>
      </w:pPr>
      <w:r>
        <w:rPr>
          <w:b/>
          <w:color w:val="B45F06"/>
        </w:rPr>
        <w:t xml:space="preserve">⚠️ Exam Trap: </w:t>
      </w:r>
      <w:r>
        <w:t>Keep the two cut-offs straight: 11.5 (SAM) and 12.5 (MAM).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MUAC: &lt;12.5 cm = MAM; &lt;11.5 cm = SAM; ≥12.5 cm = normal.</w:t>
      </w:r>
    </w:p>
    <w:p>
      <w:pPr>
        <w:spacing w:after="0" w:before="0"/>
      </w:pPr>
      <w:r>
        <w:rPr>
          <w:b/>
          <w:i w:val="0"/>
          <w:sz w:val="21"/>
        </w:rPr>
        <w:t>Positive Marks: 1    Negative Marks: 0.25</w:t>
      </w:r>
    </w:p>
    <w:p>
      <w:pPr>
        <w:spacing w:before="280" w:after="40"/>
      </w:pPr>
      <w:r>
        <w:rPr>
          <w:b/>
        </w:rPr>
        <w:t xml:space="preserve">Question: </w:t>
      </w:r>
      <w:r>
        <w:t>A cotton ball infected with pus is discarded in which colored bin?</w:t>
      </w:r>
    </w:p>
    <w:p>
      <w:pPr>
        <w:spacing w:after="20" w:before="0"/>
      </w:pPr>
      <w:r>
        <w:rPr>
          <w:b w:val="0"/>
          <w:i w:val="0"/>
          <w:sz w:val="21"/>
        </w:rPr>
        <w:t>(a)  Yellow</w:t>
      </w:r>
    </w:p>
    <w:p>
      <w:pPr>
        <w:spacing w:after="20" w:before="0"/>
      </w:pPr>
      <w:r>
        <w:rPr>
          <w:b w:val="0"/>
          <w:i w:val="0"/>
          <w:sz w:val="21"/>
        </w:rPr>
        <w:t>(b)  Black</w:t>
      </w:r>
    </w:p>
    <w:p>
      <w:pPr>
        <w:spacing w:after="20" w:before="0"/>
      </w:pPr>
      <w:r>
        <w:rPr>
          <w:b w:val="0"/>
          <w:i w:val="0"/>
          <w:sz w:val="21"/>
        </w:rPr>
        <w:t>(c)  Red</w:t>
      </w:r>
    </w:p>
    <w:p>
      <w:pPr>
        <w:spacing w:after="20" w:before="0"/>
      </w:pPr>
      <w:r>
        <w:rPr>
          <w:b w:val="0"/>
          <w:i w:val="0"/>
          <w:sz w:val="21"/>
        </w:rPr>
        <w:t>(d)  Blue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pus-soaked cotton ball is contaminated waste (soiled/infected dressing material). Under BMW rules, contaminated cotton, dressings and other infected waste are discarded in the YELLOW bag.</w:t>
      </w:r>
    </w:p>
    <w:p>
      <w:pPr>
        <w:spacing w:after="20" w:before="0"/>
      </w:pPr>
      <w:r>
        <w:rPr>
          <w:b/>
        </w:rPr>
        <w:t xml:space="preserve">🔍 Key Clues: </w:t>
      </w:r>
      <w:r>
        <w:t>Pus-soaked cotton = contaminated waste → YELLOW bag.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Black is for non-hazardous municipal waste. | c — Red is for contaminated recyclable plastics/rubber. | d — Blue/white is for glass and sharps.</w:t>
      </w:r>
    </w:p>
    <w:p>
      <w:pPr>
        <w:spacing w:after="20" w:before="0"/>
      </w:pPr>
      <w:r>
        <w:rPr>
          <w:b/>
          <w:color w:val="B45F06"/>
        </w:rPr>
        <w:t xml:space="preserve">⚠️ Exam Trap: </w:t>
      </w:r>
      <w:r>
        <w:t>Contaminated cotton/dressing = yellow (infected waste); plastic bottles/rubber = red.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Soiled cotton, dressings, pus → Yellow bag; plastics → Red bag.</w:t>
      </w:r>
    </w:p>
    <w:p>
      <w:pPr>
        <w:spacing w:after="0" w:before="0"/>
      </w:pPr>
      <w:r>
        <w:rPr>
          <w:b/>
          <w:i w:val="0"/>
          <w:sz w:val="21"/>
        </w:rPr>
        <w:t>Positive Marks: 1    Negative Marks: 0.25</w:t>
      </w:r>
    </w:p>
    <w:p>
      <w:pPr>
        <w:spacing w:before="280" w:after="40"/>
      </w:pPr>
      <w:r>
        <w:rPr>
          <w:b/>
        </w:rPr>
        <w:t xml:space="preserve">Question: </w:t>
      </w:r>
      <w:r>
        <w:t>A fluid that causes shifting of fluid from cells to blood:</w:t>
      </w:r>
    </w:p>
    <w:p>
      <w:pPr>
        <w:spacing w:after="20" w:before="0"/>
      </w:pPr>
      <w:r>
        <w:rPr>
          <w:b w:val="0"/>
          <w:i w:val="0"/>
          <w:sz w:val="21"/>
        </w:rPr>
        <w:t>(a)  Hypertonic</w:t>
      </w:r>
    </w:p>
    <w:p>
      <w:pPr>
        <w:spacing w:after="20" w:before="0"/>
      </w:pPr>
      <w:r>
        <w:rPr>
          <w:b w:val="0"/>
          <w:i w:val="0"/>
          <w:sz w:val="21"/>
        </w:rPr>
        <w:t>(b)  Hypotonic</w:t>
      </w:r>
    </w:p>
    <w:p>
      <w:pPr>
        <w:spacing w:after="20" w:before="0"/>
      </w:pPr>
      <w:r>
        <w:rPr>
          <w:b w:val="0"/>
          <w:i w:val="0"/>
          <w:sz w:val="21"/>
        </w:rPr>
        <w:t>(c)  Isotonic</w:t>
      </w:r>
    </w:p>
    <w:p>
      <w:pPr>
        <w:spacing w:after="20" w:before="0"/>
      </w:pPr>
      <w:r>
        <w:rPr>
          <w:b w:val="0"/>
          <w:i w:val="0"/>
          <w:sz w:val="21"/>
        </w:rPr>
        <w:t>(d)  Isotope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HYPERTONIC solution has a higher osmolarity than body fluids, so water moves OUT of the cells into the blood (intravascular space) by osmosis — causing cellular dehydration. Hypotonic fluid does the opposite (moves water into cells).</w:t>
      </w:r>
    </w:p>
    <w:p>
      <w:pPr>
        <w:spacing w:after="20" w:before="0"/>
      </w:pPr>
      <w:r>
        <w:rPr>
          <w:b/>
        </w:rPr>
        <w:t xml:space="preserve">🔍 Key Clues: </w:t>
      </w:r>
      <w:r>
        <w:t>Hypertonic = 'water leaves cells → blood'. Hyper = more solute outside = water follows to outside.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Hypotonic fluid moves water INTO the cells. | c — Isotonic fluid causes no net shift. | d — Isotope is a nuclear term, not a fluid type.</w:t>
      </w:r>
    </w:p>
    <w:p>
      <w:pPr>
        <w:spacing w:after="20" w:before="0"/>
      </w:pPr>
      <w:r>
        <w:rPr>
          <w:b/>
          <w:color w:val="B45F06"/>
        </w:rPr>
        <w:t xml:space="preserve">⚠️ Exam Trap: </w:t>
      </w:r>
      <w:r>
        <w:t>Remember 'salt draws water': hypertonic shrinks cells, hypotonic swells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Hypertonic → fluid moves from cells to blood (cells shrink); hypotonic → into cells (cells swell).</w:t>
      </w:r>
    </w:p>
    <w:p>
      <w:pPr>
        <w:spacing w:after="0" w:before="0"/>
      </w:pPr>
      <w:r>
        <w:rPr>
          <w:b/>
          <w:i w:val="0"/>
          <w:sz w:val="21"/>
        </w:rPr>
        <w:t>Positive Marks: 1    Negative Marks: 0.25</w:t>
      </w:r>
    </w:p>
    <w:p>
      <w:pPr>
        <w:spacing w:before="280" w:after="40"/>
      </w:pPr>
      <w:r>
        <w:rPr>
          <w:b/>
        </w:rPr>
        <w:t xml:space="preserve">Question: </w:t>
      </w:r>
      <w:r>
        <w:t>Signs of fluid overload:</w:t>
      </w:r>
    </w:p>
    <w:p>
      <w:pPr>
        <w:spacing w:after="20" w:before="0"/>
      </w:pPr>
      <w:r>
        <w:rPr>
          <w:b w:val="0"/>
          <w:i w:val="0"/>
          <w:sz w:val="21"/>
        </w:rPr>
        <w:t>(a)  Elevated JVP</w:t>
      </w:r>
    </w:p>
    <w:p>
      <w:pPr>
        <w:spacing w:after="20" w:before="0"/>
      </w:pPr>
      <w:r>
        <w:rPr>
          <w:b w:val="0"/>
          <w:i w:val="0"/>
          <w:sz w:val="21"/>
        </w:rPr>
        <w:t>(b)  Collapsed Jugular vein</w:t>
      </w:r>
    </w:p>
    <w:p>
      <w:pPr>
        <w:spacing w:after="20" w:before="0"/>
      </w:pPr>
      <w:r>
        <w:rPr>
          <w:b w:val="0"/>
          <w:i w:val="0"/>
          <w:sz w:val="21"/>
        </w:rPr>
        <w:t>(c)  Thready pulse</w:t>
      </w:r>
    </w:p>
    <w:p>
      <w:pPr>
        <w:spacing w:after="20" w:before="0"/>
      </w:pPr>
      <w:r>
        <w:rPr>
          <w:b w:val="0"/>
          <w:i w:val="0"/>
          <w:sz w:val="21"/>
        </w:rPr>
        <w:t>(d)  Irregular pulse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Fluid overload (hypervolaemia) raises central venous pressure, causing DISTENDED (elevated) jugular veins, along with oedema, crackles, hypertension and weight gain. A collapsed jugular vein and thready pulse indicate hypovolaemia.</w:t>
      </w:r>
    </w:p>
    <w:p>
      <w:pPr>
        <w:spacing w:after="20" w:before="0"/>
      </w:pPr>
      <w:r>
        <w:rPr>
          <w:b/>
        </w:rPr>
        <w:t xml:space="preserve">🔍 Key Clues: </w:t>
      </w:r>
      <w:r>
        <w:t>'Fluid overload = JVP up, veins distended, oedema'.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Collapsed JVP = low volume (hypovolaemia/dehydration). | c — Thready pulse = low cardiac output (shock/hypovolaemia). | d — Irregular pulse is arrhythmia-related, not specific to overload.</w:t>
      </w:r>
    </w:p>
    <w:p>
      <w:pPr>
        <w:spacing w:after="20" w:before="0"/>
      </w:pPr>
      <w:r>
        <w:rPr>
          <w:b/>
          <w:color w:val="B45F06"/>
        </w:rPr>
        <w:t xml:space="preserve">⚠️ Exam Trap: </w:t>
      </w:r>
      <w:r>
        <w:t>JVP: high in overload/heart failure; low in dehydration/shock.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Fluid overload: ↑JVP, oedema, crackles, ↑BP; hypovolaemia: ↓JVP, thready pulse, hypotension.</w:t>
      </w:r>
    </w:p>
    <w:p>
      <w:pPr>
        <w:spacing w:after="0" w:before="0"/>
      </w:pPr>
      <w:r>
        <w:rPr>
          <w:b/>
          <w:i w:val="0"/>
          <w:sz w:val="21"/>
        </w:rPr>
        <w:t>Positive Marks: 1    Negative Marks: 0.25</w:t>
      </w:r>
    </w:p>
    <w:p>
      <w:pPr>
        <w:spacing w:before="280" w:after="40"/>
      </w:pPr>
      <w:r>
        <w:rPr>
          <w:b/>
        </w:rPr>
        <w:t xml:space="preserve">Question: </w:t>
      </w:r>
      <w:r>
        <w:t>An alcoholic patient is given disulfiram. This dose can cause DRE for how many days?</w:t>
      </w:r>
    </w:p>
    <w:p>
      <w:pPr>
        <w:spacing w:after="20" w:before="0"/>
      </w:pPr>
      <w:r>
        <w:rPr>
          <w:b w:val="0"/>
          <w:i w:val="0"/>
          <w:sz w:val="21"/>
        </w:rPr>
        <w:t>(a)  96 hours</w:t>
      </w:r>
    </w:p>
    <w:p>
      <w:pPr>
        <w:spacing w:after="20" w:before="0"/>
      </w:pPr>
      <w:r>
        <w:rPr>
          <w:b w:val="0"/>
          <w:i w:val="0"/>
          <w:sz w:val="21"/>
        </w:rPr>
        <w:t>(b)  1 week</w:t>
      </w:r>
    </w:p>
    <w:p>
      <w:pPr>
        <w:spacing w:after="20" w:before="0"/>
      </w:pPr>
      <w:r>
        <w:rPr>
          <w:b w:val="0"/>
          <w:i w:val="0"/>
          <w:sz w:val="21"/>
        </w:rPr>
        <w:t>(c)  36 hours</w:t>
      </w:r>
    </w:p>
    <w:p>
      <w:pPr>
        <w:spacing w:after="20" w:before="0"/>
      </w:pPr>
      <w:r>
        <w:rPr>
          <w:b w:val="0"/>
          <w:i w:val="0"/>
          <w:sz w:val="21"/>
        </w:rPr>
        <w:t>(d)  24 hours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DRE = Disulfiram–Ethanol Reaction (disulfiram-alcohol reaction). After a single dose of disulfiram the sensitivity to alcohol persists for about 1 WEEK (up to 14 days with continued dosing), which is why patients must avoid all alcohol-containing products during therapy.</w:t>
      </w:r>
    </w:p>
    <w:p>
      <w:pPr>
        <w:spacing w:after="20" w:before="0"/>
      </w:pPr>
      <w:r>
        <w:rPr>
          <w:b/>
        </w:rPr>
        <w:t xml:space="preserve">🔍 Key Clues: </w:t>
      </w:r>
      <w:r>
        <w:t>Disulfiram sensitisation lasts ~1 week — 'avoid alcohol for a week'.</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96 hours (4 days) is shorter than the actual 1-week window. | c — 36 hours underestimates the window. | d — 24 hours is far too short.</w:t>
      </w:r>
    </w:p>
    <w:p>
      <w:pPr>
        <w:spacing w:after="20" w:before="0"/>
      </w:pPr>
      <w:r>
        <w:rPr>
          <w:b/>
          <w:color w:val="B45F06"/>
        </w:rPr>
        <w:t xml:space="preserve">⚠️ Exam Trap: </w:t>
      </w:r>
      <w:r>
        <w:t>The reaction itself lasts hours, but alcohol SENSITISATION persists ~1 week — read the time carefully.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Disulfiram: alcohol reaction potential persists about 1 week after dosing.</w:t>
      </w:r>
    </w:p>
    <w:p>
      <w:pPr>
        <w:spacing w:after="0" w:before="0"/>
      </w:pPr>
      <w:r>
        <w:rPr>
          <w:b/>
          <w:i w:val="0"/>
          <w:sz w:val="21"/>
        </w:rPr>
        <w:t>Positive Marks: 1    Negative Marks: 0.25</w:t>
      </w:r>
    </w:p>
    <w:p>
      <w:pPr>
        <w:spacing w:before="280" w:after="40"/>
      </w:pPr>
      <w:r>
        <w:rPr>
          <w:b/>
        </w:rPr>
        <w:t xml:space="preserve">Question: </w:t>
      </w:r>
      <w:r>
        <w:t>Covishield vaccine is contraindicated in:</w:t>
      </w:r>
    </w:p>
    <w:p>
      <w:pPr>
        <w:spacing w:after="20" w:before="0"/>
      </w:pPr>
      <w:r>
        <w:rPr>
          <w:b w:val="0"/>
          <w:i w:val="0"/>
          <w:sz w:val="21"/>
        </w:rPr>
        <w:t>(a)  Previous allergy to first dose of Covishield</w:t>
      </w:r>
    </w:p>
    <w:p>
      <w:pPr>
        <w:spacing w:after="20" w:before="0"/>
      </w:pPr>
      <w:r>
        <w:rPr>
          <w:b w:val="0"/>
          <w:i w:val="0"/>
          <w:sz w:val="21"/>
        </w:rPr>
        <w:t>(b)  History of carcinoma</w:t>
      </w:r>
    </w:p>
    <w:p>
      <w:pPr>
        <w:spacing w:after="20" w:before="0"/>
      </w:pPr>
      <w:r>
        <w:rPr>
          <w:b w:val="0"/>
          <w:i w:val="0"/>
          <w:sz w:val="21"/>
        </w:rPr>
        <w:t>(c)  History of pollen allergy</w:t>
      </w:r>
    </w:p>
    <w:p>
      <w:pPr>
        <w:spacing w:after="20" w:before="0"/>
      </w:pPr>
      <w:r>
        <w:rPr>
          <w:b w:val="0"/>
          <w:i w:val="0"/>
          <w:sz w:val="21"/>
        </w:rPr>
        <w:t>(d)  History of radiation 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serious allergic reaction (anaphylaxis) to a previous dose of the same vaccine is an absolute contraindication to subsequent doses. A history of carcinoma, pollen allergy or radiation therapy does not contraindicate COVID vaccination.</w:t>
      </w:r>
    </w:p>
    <w:p>
      <w:pPr>
        <w:spacing w:after="20" w:before="0"/>
      </w:pPr>
      <w:r>
        <w:rPr>
          <w:b/>
        </w:rPr>
        <w:t xml:space="preserve">🔍 Key Clues: </w:t>
      </w:r>
      <w:r>
        <w:t>'Contraindication = previous severe allergy to the same vaccine'.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Carcinoma history is not a contraindication to Covishield. | c — Pollen allergy is not a vaccine contraindication. | d — Radiation therapy history is not a contraindication.</w:t>
      </w:r>
    </w:p>
    <w:p>
      <w:pPr>
        <w:spacing w:after="20" w:before="0"/>
      </w:pPr>
      <w:r>
        <w:rPr>
          <w:b/>
          <w:color w:val="B45F06"/>
        </w:rPr>
        <w:t xml:space="preserve">⚠️ Exam Trap: </w:t>
      </w:r>
      <w:r>
        <w:t>Only anaphylaxis to a prior dose (or a vaccine component) is an absolute contraindication.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Vaccine contraindication: anaphylaxis to previous dose/component — not cancer or pollen allergy.</w:t>
      </w:r>
    </w:p>
    <w:p>
      <w:pPr>
        <w:spacing w:after="0" w:before="0"/>
      </w:pPr>
      <w:r>
        <w:rPr>
          <w:b/>
          <w:i w:val="0"/>
          <w:sz w:val="21"/>
        </w:rPr>
        <w:t>Positive Marks: 1    Negative Marks: 0.25</w:t>
      </w:r>
    </w:p>
    <w:p>
      <w:pPr>
        <w:spacing w:before="280" w:after="40"/>
      </w:pPr>
      <w:r>
        <w:rPr>
          <w:b/>
        </w:rPr>
        <w:t xml:space="preserve">Question: </w:t>
      </w:r>
      <w:r>
        <w:t>Bluish discoloration of vagina and cervix in the first trimester is known as:</w:t>
      </w:r>
    </w:p>
    <w:p>
      <w:pPr>
        <w:spacing w:after="20" w:before="0"/>
      </w:pPr>
      <w:r>
        <w:rPr>
          <w:b w:val="0"/>
          <w:i w:val="0"/>
          <w:sz w:val="21"/>
        </w:rPr>
        <w:t>(a)  Chadwick</w:t>
      </w:r>
    </w:p>
    <w:p>
      <w:pPr>
        <w:spacing w:after="20" w:before="0"/>
      </w:pPr>
      <w:r>
        <w:rPr>
          <w:b w:val="0"/>
          <w:i w:val="0"/>
          <w:sz w:val="21"/>
        </w:rPr>
        <w:t>(b)  Osiander’s</w:t>
      </w:r>
    </w:p>
    <w:p>
      <w:pPr>
        <w:spacing w:after="20" w:before="0"/>
      </w:pPr>
      <w:r>
        <w:rPr>
          <w:b w:val="0"/>
          <w:i w:val="0"/>
          <w:sz w:val="21"/>
        </w:rPr>
        <w:t>(c)  Hegar</w:t>
      </w:r>
    </w:p>
    <w:p>
      <w:pPr>
        <w:spacing w:after="20" w:before="0"/>
      </w:pPr>
      <w:r>
        <w:rPr>
          <w:b w:val="0"/>
          <w:i w:val="0"/>
          <w:sz w:val="21"/>
        </w:rPr>
        <w:t>(d)  Goodell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CHADWICK's sign is the bluish/violet discolouration of the vagina and cervix due to increased vascularity — seen from about the 6th week of pregnancy. Hegar's sign = softening of the lower uterine segment; Goodell's sign = cervical softening; Osiander's sign = increased pulsation of the vaginal arteries.</w:t>
      </w:r>
    </w:p>
    <w:p>
      <w:pPr>
        <w:spacing w:after="20" w:before="0"/>
      </w:pPr>
      <w:r>
        <w:rPr>
          <w:b/>
        </w:rPr>
        <w:t xml:space="preserve">🔍 Key Clues: </w:t>
      </w:r>
      <w:r>
        <w:t>'Blue vagina + cervix = Chadwick' (6 weeks onward).</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Osiander's sign = pulsation felt in the lateral vaginal fornix. | c — Hegar's sign = softening of the lower uterine segment (6–12 weeks). | d — Goodell's sign = softening of the cervix.</w:t>
      </w:r>
    </w:p>
    <w:p>
      <w:pPr>
        <w:spacing w:after="20" w:before="0"/>
      </w:pPr>
      <w:r>
        <w:rPr>
          <w:b/>
          <w:color w:val="B45F06"/>
        </w:rPr>
        <w:t xml:space="preserve">⚠️ Exam Trap: </w:t>
      </w:r>
      <w:r>
        <w:t>The pregnancy signs all mean 'softening/colour change' — pair each name with its finding.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Chadwick = bluish cervix/vagina; Hegar = soft lower segment; Goodell = soft cervix.</w:t>
      </w:r>
    </w:p>
    <w:p>
      <w:pPr>
        <w:spacing w:after="0" w:before="0"/>
      </w:pPr>
      <w:r>
        <w:rPr>
          <w:b/>
          <w:i w:val="0"/>
          <w:sz w:val="21"/>
        </w:rPr>
        <w:t>Positive Marks: 1    Negative Marks: 0.25</w:t>
      </w:r>
    </w:p>
    <w:p>
      <w:pPr>
        <w:spacing w:before="280" w:after="40"/>
      </w:pPr>
      <w:r>
        <w:rPr>
          <w:b/>
        </w:rPr>
        <w:t xml:space="preserve">Question: </w:t>
      </w:r>
      <w:r>
        <w:t>Which preservative is used during packing of catgut?</w:t>
      </w:r>
    </w:p>
    <w:p>
      <w:pPr>
        <w:spacing w:after="20" w:before="0"/>
      </w:pPr>
      <w:r>
        <w:rPr>
          <w:b w:val="0"/>
          <w:i w:val="0"/>
          <w:sz w:val="21"/>
        </w:rPr>
        <w:t>(a)  Formaldehyde</w:t>
      </w:r>
    </w:p>
    <w:p>
      <w:pPr>
        <w:spacing w:after="20" w:before="0"/>
      </w:pPr>
      <w:r>
        <w:rPr>
          <w:b w:val="0"/>
          <w:i w:val="0"/>
          <w:sz w:val="21"/>
        </w:rPr>
        <w:t>(b)  Glutaraldehyde</w:t>
      </w:r>
    </w:p>
    <w:p>
      <w:pPr>
        <w:spacing w:after="20" w:before="0"/>
      </w:pPr>
      <w:r>
        <w:rPr>
          <w:b w:val="0"/>
          <w:i w:val="0"/>
          <w:sz w:val="21"/>
        </w:rPr>
        <w:t>(c)  Isopropyl alcohol</w:t>
      </w:r>
    </w:p>
    <w:p>
      <w:pPr>
        <w:spacing w:after="20" w:before="0"/>
      </w:pPr>
      <w:r>
        <w:rPr>
          <w:b w:val="0"/>
          <w:i w:val="0"/>
          <w:sz w:val="21"/>
        </w:rPr>
        <w:t>(d)  Sodium hypochlorite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Surgical gut (catgut) sutures are packaged and preserved in a fluid containing ISOPROPYL ALCOHOL (with water), which keeps the suture pliable and sterile. Glutaraldehyde/formaldehyde are high-level disinfectants, and sodium hypochlorite is bleach.</w:t>
      </w:r>
    </w:p>
    <w:p>
      <w:pPr>
        <w:spacing w:after="20" w:before="0"/>
      </w:pPr>
      <w:r>
        <w:rPr>
          <w:b/>
        </w:rPr>
        <w:t xml:space="preserve">🔍 Key Clues: </w:t>
      </w:r>
      <w:r>
        <w:t>'Catgut stored in alcohol' — isopropyl alcohol keeps the suture soft.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Formaldehyde is a chemical sterilant/disinfectant, not a suture preservative. | b — Glutaraldehyde is used for cold sterilisation of instruments. | d — Sodium hypochlorite is bleach.</w:t>
      </w:r>
    </w:p>
    <w:p>
      <w:pPr>
        <w:spacing w:after="20" w:before="0"/>
      </w:pPr>
      <w:r>
        <w:rPr>
          <w:b/>
          <w:color w:val="B45F06"/>
        </w:rPr>
        <w:t xml:space="preserve">⚠️ Exam Trap: </w:t>
      </w:r>
      <w:r>
        <w:t>Catgut = natural absorbable suture, stored in isopropyl alcohol to stay pliable.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Catgut packing preservative = isopropyl alcohol.</w:t>
      </w:r>
    </w:p>
    <w:p>
      <w:pPr>
        <w:spacing w:after="0" w:before="0"/>
      </w:pPr>
      <w:r>
        <w:rPr>
          <w:b/>
          <w:i w:val="0"/>
          <w:sz w:val="21"/>
        </w:rPr>
        <w:t>Positive Marks: 1    Negative Marks: 0.25</w:t>
      </w:r>
    </w:p>
    <w:p>
      <w:pPr>
        <w:spacing w:before="280" w:after="40"/>
      </w:pPr>
      <w:r>
        <w:rPr>
          <w:b/>
        </w:rPr>
        <w:t xml:space="preserve">Question: </w:t>
      </w:r>
      <w:r>
        <w:t>A patient comes with the diagnosis of COPD. What is the method of oxygen administration in this patient? 1) Use Venturi mask at 28% (not more than 6 lit/ min) 2) Used the nasal cannula not more than 4 lit/ min 3) Maintain the SPO2 in between 78 to 89% 4) Oxygen administration should not be more than 6 lit/ min</w:t>
      </w:r>
    </w:p>
    <w:p>
      <w:pPr>
        <w:spacing w:after="20" w:before="0"/>
      </w:pPr>
      <w:r>
        <w:rPr>
          <w:b w:val="0"/>
          <w:i w:val="0"/>
          <w:sz w:val="21"/>
        </w:rPr>
        <w:t>(a)  All are correct</w:t>
      </w:r>
    </w:p>
    <w:p>
      <w:pPr>
        <w:spacing w:after="20" w:before="0"/>
      </w:pPr>
      <w:r>
        <w:rPr>
          <w:b w:val="0"/>
          <w:i w:val="0"/>
          <w:sz w:val="21"/>
        </w:rPr>
        <w:t>(b)  2, 3, 4 are Correct</w:t>
      </w:r>
    </w:p>
    <w:p>
      <w:pPr>
        <w:spacing w:after="20" w:before="0"/>
      </w:pPr>
      <w:r>
        <w:rPr>
          <w:b w:val="0"/>
          <w:i w:val="0"/>
          <w:sz w:val="21"/>
        </w:rPr>
        <w:t>(c)  Only 1 and 2 are correct</w:t>
      </w:r>
    </w:p>
    <w:p>
      <w:pPr>
        <w:spacing w:after="20" w:before="0"/>
      </w:pPr>
      <w:r>
        <w:rPr>
          <w:b w:val="0"/>
          <w:i w:val="0"/>
          <w:sz w:val="21"/>
        </w:rPr>
        <w:t>(d)  1, 2 ,3 are correct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COPD patients are at risk of CO₂ retention, so oxygen is given CONTROLLED and LOW-FLOW: Venturi mask at 24–28% (up to ~6 L/min), nasal cannula at 1–2 L/min (not more than ~4), with an SpO₂ target around 88–92%. The paper key accepts all four statements as correct.</w:t>
      </w:r>
    </w:p>
    <w:p>
      <w:pPr>
        <w:spacing w:after="20" w:before="0"/>
      </w:pPr>
      <w:r>
        <w:rPr>
          <w:b/>
        </w:rPr>
        <w:t xml:space="preserve">🔍 Key Clues: </w:t>
      </w:r>
      <w:r>
        <w:t>COPD oxygen = low flow + Venturi 24–28% + SpO₂ 88–92% — 'controlled oxygen'.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Excludes statement 1, which is also correct (Venturi 28%). | c — Excludes statements 3 and 4, which are correct. | d — Excludes statement 4, which is correct (≤6 L/min).</w:t>
      </w:r>
    </w:p>
    <w:p>
      <w:pPr>
        <w:spacing w:after="20" w:before="0"/>
      </w:pPr>
      <w:r>
        <w:rPr>
          <w:b/>
          <w:color w:val="B45F06"/>
        </w:rPr>
        <w:t xml:space="preserve">⚠️ Exam Trap: </w:t>
      </w:r>
      <w:r>
        <w:t>The exam SpO₂ target given is 78–89% — accept the key; clinically GOLD targets 88–92%.</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COPD: low-flow O₂ (Venturi 24–28%, cannula 1–2 L/min), target SpO₂ 88–92%, monitor CO₂.</w:t>
      </w:r>
    </w:p>
    <w:p>
      <w:pPr>
        <w:spacing w:after="0" w:before="0"/>
      </w:pPr>
      <w:r>
        <w:rPr>
          <w:b/>
          <w:i w:val="0"/>
          <w:sz w:val="21"/>
        </w:rPr>
        <w:t>Positive Marks: 1    Negative Marks: 0.25</w:t>
      </w:r>
    </w:p>
    <w:p>
      <w:pPr>
        <w:spacing w:before="280" w:after="40"/>
      </w:pPr>
      <w:r>
        <w:rPr>
          <w:b/>
        </w:rPr>
        <w:t xml:space="preserve">Question: </w:t>
      </w:r>
      <w:r>
        <w:t>Positive stallworthy sign is seen in which of the following conditions?</w:t>
      </w:r>
    </w:p>
    <w:p>
      <w:pPr>
        <w:spacing w:after="20" w:before="0"/>
      </w:pPr>
      <w:r>
        <w:rPr>
          <w:b w:val="0"/>
          <w:i w:val="0"/>
          <w:sz w:val="21"/>
        </w:rPr>
        <w:t>(a)  Abruptio Placenta</w:t>
      </w:r>
    </w:p>
    <w:p>
      <w:pPr>
        <w:spacing w:after="20" w:before="0"/>
      </w:pPr>
      <w:r>
        <w:rPr>
          <w:b w:val="0"/>
          <w:i w:val="0"/>
          <w:sz w:val="21"/>
        </w:rPr>
        <w:t>(b)  Placenta Previa</w:t>
      </w:r>
    </w:p>
    <w:p>
      <w:pPr>
        <w:spacing w:after="20" w:before="0"/>
      </w:pPr>
      <w:r>
        <w:rPr>
          <w:b w:val="0"/>
          <w:i w:val="0"/>
          <w:sz w:val="21"/>
        </w:rPr>
        <w:t>(c)  Placenta Succenturiata</w:t>
      </w:r>
    </w:p>
    <w:p>
      <w:pPr>
        <w:spacing w:after="20" w:before="0"/>
      </w:pPr>
      <w:r>
        <w:rPr>
          <w:b w:val="0"/>
          <w:i w:val="0"/>
          <w:sz w:val="21"/>
        </w:rPr>
        <w:t>(d)  Placenta Bilobata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Stallworthy sign is positive in PLACENTA PREVIA: on abdominal examination the presenting part can be pushed up but springs back to its original position (the placenta prevents engagement). In abruptio placentae the uterus is tense and tender with no such sign.</w:t>
      </w:r>
    </w:p>
    <w:p>
      <w:pPr>
        <w:spacing w:after="20" w:before="0"/>
      </w:pPr>
      <w:r>
        <w:rPr>
          <w:b/>
        </w:rPr>
        <w:t xml:space="preserve">🔍 Key Clues: </w:t>
      </w:r>
      <w:r>
        <w:t>'Stallworthy = placenta previa (presenting part bounces back)'.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Abruptio placentae = painful, tense uterus, no springing sign. | c — Succenturiate placenta is a placental shape anomaly. | d — Bilobate placenta is a placental shape anomaly.</w:t>
      </w:r>
    </w:p>
    <w:p>
      <w:pPr>
        <w:spacing w:after="20" w:before="0"/>
      </w:pPr>
      <w:r>
        <w:rPr>
          <w:b/>
          <w:color w:val="B45F06"/>
        </w:rPr>
        <w:t xml:space="preserve">⚠️ Exam Trap: </w:t>
      </w:r>
      <w:r>
        <w:t>Placenta previa = painless bleeding + soft uterus; abruptio = painful + tense uterus.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Stallworthy sign positive → placenta previa.</w:t>
      </w:r>
    </w:p>
    <w:p>
      <w:pPr>
        <w:spacing w:after="0" w:before="0"/>
      </w:pPr>
      <w:r>
        <w:rPr>
          <w:b/>
          <w:i w:val="0"/>
          <w:sz w:val="21"/>
        </w:rPr>
        <w:t>Positive Marks: 1    Negative Marks: 0.25</w:t>
      </w:r>
    </w:p>
    <w:p>
      <w:pPr>
        <w:spacing w:before="280" w:after="40"/>
      </w:pPr>
      <w:r>
        <w:rPr>
          <w:b/>
        </w:rPr>
        <w:t xml:space="preserve">Question: </w:t>
      </w:r>
      <w:r>
        <w:t>Intramuscular injection is given at which angle?</w:t>
      </w:r>
    </w:p>
    <w:p>
      <w:pPr>
        <w:spacing w:after="20" w:before="0"/>
      </w:pPr>
      <w:r>
        <w:rPr>
          <w:b w:val="0"/>
          <w:i w:val="0"/>
          <w:sz w:val="21"/>
        </w:rPr>
        <w:t>(a)  30 degree</w:t>
      </w:r>
    </w:p>
    <w:p>
      <w:pPr>
        <w:spacing w:after="20" w:before="0"/>
      </w:pPr>
      <w:r>
        <w:rPr>
          <w:b w:val="0"/>
          <w:i w:val="0"/>
          <w:sz w:val="21"/>
        </w:rPr>
        <w:t>(b)  60 degree</w:t>
      </w:r>
    </w:p>
    <w:p>
      <w:pPr>
        <w:spacing w:after="20" w:before="0"/>
      </w:pPr>
      <w:r>
        <w:rPr>
          <w:b w:val="0"/>
          <w:i w:val="0"/>
          <w:sz w:val="21"/>
        </w:rPr>
        <w:t>(c)  90 degree</w:t>
      </w:r>
    </w:p>
    <w:p>
      <w:pPr>
        <w:spacing w:after="20" w:before="0"/>
      </w:pPr>
      <w:r>
        <w:rPr>
          <w:b w:val="0"/>
          <w:i w:val="0"/>
          <w:sz w:val="21"/>
        </w:rPr>
        <w:t>(d)  15 degree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IM injections are given at a 90° angle to reach the muscle layer. Subcutaneous injections are given at 45° (or 90° with a short needle), and intradermal injections at 10–15°.</w:t>
      </w:r>
    </w:p>
    <w:p>
      <w:pPr>
        <w:spacing w:after="20" w:before="0"/>
      </w:pPr>
      <w:r>
        <w:rPr>
          <w:b/>
        </w:rPr>
        <w:t xml:space="preserve">🔍 Key Clues: </w:t>
      </w:r>
      <w:r>
        <w:t>IM = 90°, SC = 45°, ID = 10–15° — 'muscle is straight down'.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30° is too shallow for IM (used for some SC techniques). | b — 60° is not the standard IM angle. | d — 15° is the intradermal angle.</w:t>
      </w:r>
    </w:p>
    <w:p>
      <w:pPr>
        <w:spacing w:after="20" w:before="0"/>
      </w:pPr>
      <w:r>
        <w:rPr>
          <w:b/>
          <w:color w:val="B45F06"/>
        </w:rPr>
        <w:t xml:space="preserve">⚠️ Exam Trap: </w:t>
      </w:r>
      <w:r>
        <w:t>Injection angle ladder: ID 10–15° → SC 45° → IM 90° → IV (into the vein, along its axis).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 injection = 90°; SC = 45°; ID = 10–15°.</w:t>
      </w:r>
    </w:p>
    <w:p>
      <w:pPr>
        <w:spacing w:after="0" w:before="0"/>
      </w:pPr>
      <w:r>
        <w:rPr>
          <w:b/>
          <w:i w:val="0"/>
          <w:sz w:val="21"/>
        </w:rPr>
        <w:t>Positive Marks: 1    Negative Marks: 0.25</w:t>
      </w:r>
    </w:p>
    <w:p>
      <w:pPr>
        <w:spacing w:before="280" w:after="40"/>
      </w:pPr>
      <w:r>
        <w:rPr>
          <w:b/>
        </w:rPr>
        <w:t xml:space="preserve">Question: </w:t>
      </w:r>
      <w:r>
        <w:t>Which of the following muscles is the site for 2nd booster dose of DPT?</w:t>
      </w:r>
    </w:p>
    <w:p>
      <w:pPr>
        <w:spacing w:after="20" w:before="0"/>
      </w:pPr>
      <w:r>
        <w:rPr>
          <w:b w:val="0"/>
          <w:i w:val="0"/>
          <w:sz w:val="21"/>
        </w:rPr>
        <w:t>(a)  Ventrogluteal</w:t>
      </w:r>
    </w:p>
    <w:p>
      <w:pPr>
        <w:spacing w:after="20" w:before="0"/>
      </w:pPr>
      <w:r>
        <w:rPr>
          <w:b w:val="0"/>
          <w:i w:val="0"/>
          <w:sz w:val="21"/>
        </w:rPr>
        <w:t>(b)  Vastus lateralis</w:t>
      </w:r>
    </w:p>
    <w:p>
      <w:pPr>
        <w:spacing w:after="20" w:before="0"/>
      </w:pPr>
      <w:r>
        <w:rPr>
          <w:b w:val="0"/>
          <w:i w:val="0"/>
          <w:sz w:val="21"/>
        </w:rPr>
        <w:t>(c)  Deltoid</w:t>
      </w:r>
    </w:p>
    <w:p>
      <w:pPr>
        <w:spacing w:after="20" w:before="0"/>
      </w:pPr>
      <w:r>
        <w:rPr>
          <w:b w:val="0"/>
          <w:i w:val="0"/>
          <w:sz w:val="21"/>
        </w:rPr>
        <w:t>(d)  Dorsogluteal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2nd booster of DPT is given at 4–6 years of age. At this age the deltoid muscle is developed and is the preferred IM site for booster doses in older children. Vastus lateralis is used in infants, and gluteal sites are avoided in children who walk.</w:t>
      </w:r>
    </w:p>
    <w:p>
      <w:pPr>
        <w:spacing w:after="20" w:before="0"/>
      </w:pPr>
      <w:r>
        <w:rPr>
          <w:b/>
        </w:rPr>
        <w:t xml:space="preserve">🔍 Key Clues: </w:t>
      </w:r>
      <w:r>
        <w:t>DPT boosters at 4–6 years → deltoid ('school-age arm shot').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Ventrogluteal is used in adults when the deltoid is unsuitable. | b — Vastus lateralis is the site for infants (0–12 months). | d — Dorsogluteal is avoided in children (sciatic nerve risk).</w:t>
      </w:r>
    </w:p>
    <w:p>
      <w:pPr>
        <w:spacing w:after="20" w:before="0"/>
      </w:pPr>
      <w:r>
        <w:rPr>
          <w:b/>
          <w:color w:val="B45F06"/>
        </w:rPr>
        <w:t xml:space="preserve">⚠️ Exam Trap: </w:t>
      </w:r>
      <w:r>
        <w:t>Site by age: infant = vastus lateralis; toddler/older child = deltoid; adult = deltoid/ventrogluteal.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2nd booster (4–6 years) = deltoid muscle.</w:t>
      </w:r>
    </w:p>
    <w:p>
      <w:pPr>
        <w:spacing w:after="0" w:before="0"/>
      </w:pPr>
      <w:r>
        <w:rPr>
          <w:b/>
          <w:i w:val="0"/>
          <w:sz w:val="21"/>
        </w:rPr>
        <w:t>Positive Marks: 1    Negative Marks: 0.25</w:t>
      </w:r>
    </w:p>
    <w:p>
      <w:pPr>
        <w:spacing w:before="280" w:after="40"/>
      </w:pPr>
      <w:r>
        <w:rPr>
          <w:b/>
        </w:rPr>
        <w:t xml:space="preserve">Question: </w:t>
      </w:r>
      <w:r>
        <w:t>SSPE is the complication of which of the following disease?</w:t>
      </w:r>
    </w:p>
    <w:p>
      <w:pPr>
        <w:spacing w:after="20" w:before="0"/>
      </w:pPr>
      <w:r>
        <w:rPr>
          <w:b w:val="0"/>
          <w:i w:val="0"/>
          <w:sz w:val="21"/>
        </w:rPr>
        <w:t>(a)  EBV</w:t>
      </w:r>
    </w:p>
    <w:p>
      <w:pPr>
        <w:spacing w:after="20" w:before="0"/>
      </w:pPr>
      <w:r>
        <w:rPr>
          <w:b w:val="0"/>
          <w:i w:val="0"/>
          <w:sz w:val="21"/>
        </w:rPr>
        <w:t>(b)  Measles</w:t>
      </w:r>
    </w:p>
    <w:p>
      <w:pPr>
        <w:spacing w:after="20" w:before="0"/>
      </w:pPr>
      <w:r>
        <w:rPr>
          <w:b w:val="0"/>
          <w:i w:val="0"/>
          <w:sz w:val="21"/>
        </w:rPr>
        <w:t>(c)  Varicella</w:t>
      </w:r>
    </w:p>
    <w:p>
      <w:pPr>
        <w:spacing w:after="20" w:before="0"/>
      </w:pPr>
      <w:r>
        <w:rPr>
          <w:b w:val="0"/>
          <w:i w:val="0"/>
          <w:sz w:val="21"/>
        </w:rPr>
        <w:t>(d)  Mumps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SSPE (Subacute Sclerosing Panencephalitis) is a rare, fatal, late complication of MEASLES — progressive neurodegeneration appearing 4–10 years after the infection (more in children infected under 2 years). Measles also causes giant-cell pneumonia and immune suppression.</w:t>
      </w:r>
    </w:p>
    <w:p>
      <w:pPr>
        <w:spacing w:after="20" w:before="0"/>
      </w:pPr>
      <w:r>
        <w:rPr>
          <w:b/>
        </w:rPr>
        <w:t xml:space="preserve">🔍 Key Clues: </w:t>
      </w:r>
      <w:r>
        <w:t>'SSPE = late complication of measles' (years later, fatal brain disease).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EBV causes infectious mononucleosis. | c — Varicella complications: pneumonia, secondary bacterial infection. | d — Mumps complications: orchitis, meningitis, pancreatitis.</w:t>
      </w:r>
    </w:p>
    <w:p>
      <w:pPr>
        <w:spacing w:after="20" w:before="0"/>
      </w:pPr>
      <w:r>
        <w:rPr>
          <w:b/>
          <w:color w:val="B45F06"/>
        </w:rPr>
        <w:t xml:space="preserve">⚠️ Exam Trap: </w:t>
      </w:r>
      <w:r>
        <w:t>SSPE has a long latent period (4–10 years) — history of measles in early childhood.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SSPE → measles (vaccination prevents it).</w:t>
      </w:r>
    </w:p>
    <w:p>
      <w:pPr>
        <w:spacing w:after="0" w:before="0"/>
      </w:pPr>
      <w:r>
        <w:rPr>
          <w:b/>
          <w:i w:val="0"/>
          <w:sz w:val="21"/>
        </w:rPr>
        <w:t>Positive Marks: 1    Negative Marks: 0.25</w:t>
      </w:r>
    </w:p>
    <w:p>
      <w:pPr>
        <w:spacing w:before="280" w:after="40"/>
      </w:pPr>
      <w:r>
        <w:rPr>
          <w:b/>
        </w:rPr>
        <w:t xml:space="preserve">Question: </w:t>
      </w:r>
      <w:r>
        <w:t>Which of the following is the most common cause of UTI in children?</w:t>
      </w:r>
    </w:p>
    <w:p>
      <w:pPr>
        <w:spacing w:after="20" w:before="0"/>
      </w:pPr>
      <w:r>
        <w:rPr>
          <w:b w:val="0"/>
          <w:i w:val="0"/>
          <w:sz w:val="21"/>
        </w:rPr>
        <w:t>(a)  E. coli</w:t>
      </w:r>
    </w:p>
    <w:p>
      <w:pPr>
        <w:spacing w:after="20" w:before="0"/>
      </w:pPr>
      <w:r>
        <w:rPr>
          <w:b w:val="0"/>
          <w:i w:val="0"/>
          <w:sz w:val="21"/>
        </w:rPr>
        <w:t>(b)  Proteus</w:t>
      </w:r>
    </w:p>
    <w:p>
      <w:pPr>
        <w:spacing w:after="20" w:before="0"/>
      </w:pPr>
      <w:r>
        <w:rPr>
          <w:b w:val="0"/>
          <w:i w:val="0"/>
          <w:sz w:val="21"/>
        </w:rPr>
        <w:t>(c)  S. aureus</w:t>
      </w:r>
    </w:p>
    <w:p>
      <w:pPr>
        <w:spacing w:after="20" w:before="0"/>
      </w:pPr>
      <w:r>
        <w:rPr>
          <w:b w:val="0"/>
          <w:i w:val="0"/>
          <w:sz w:val="21"/>
        </w:rPr>
        <w:t>(d)  Pneumococcus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Escherichia coli causes about 80–90% of urinary tract infections in children (and adults). Proteus is more common in boys/older children with stones, but E. coli remains the overall leading cause.</w:t>
      </w:r>
    </w:p>
    <w:p>
      <w:pPr>
        <w:spacing w:after="20" w:before="0"/>
      </w:pPr>
      <w:r>
        <w:rPr>
          <w:b/>
        </w:rPr>
        <w:t xml:space="preserve">🔍 Key Clues: </w:t>
      </w:r>
      <w:r>
        <w:t>'UTI = E. coli' in every age group — the default answer.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Proteus is associated with alkaline urine and stones. | c — S. aureus UTI suggests haematogenous spread or instrumentation. | d — Pneumococcus does not commonly cause UTI.</w:t>
      </w:r>
    </w:p>
    <w:p>
      <w:pPr>
        <w:spacing w:after="20" w:before="0"/>
      </w:pPr>
      <w:r>
        <w:rPr>
          <w:b/>
          <w:color w:val="B45F06"/>
        </w:rPr>
        <w:t xml:space="preserve">⚠️ Exam Trap: </w:t>
      </w:r>
      <w:r>
        <w:t>Staphylococcus saprophyticus (young women) and Proteus are the famous 'other' causes — but E. coli dominates.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Most common UTI organism = E. coli (~80–90%).</w:t>
      </w:r>
    </w:p>
    <w:p>
      <w:pPr>
        <w:spacing w:after="0" w:before="0"/>
      </w:pPr>
      <w:r>
        <w:rPr>
          <w:b/>
          <w:i w:val="0"/>
          <w:sz w:val="21"/>
        </w:rPr>
        <w:t>Positive Marks: 1    Negative Marks: 0.25</w:t>
      </w:r>
    </w:p>
    <w:p>
      <w:pPr>
        <w:spacing w:before="280" w:after="40"/>
      </w:pPr>
      <w:r>
        <w:rPr>
          <w:b/>
        </w:rPr>
        <w:t xml:space="preserve">Question: </w:t>
      </w:r>
      <w:r>
        <w:t>What is crowning?</w:t>
      </w:r>
    </w:p>
    <w:p>
      <w:pPr>
        <w:spacing w:after="20" w:before="0"/>
      </w:pPr>
      <w:r>
        <w:rPr>
          <w:b w:val="0"/>
          <w:i w:val="0"/>
          <w:sz w:val="21"/>
        </w:rPr>
        <w:t>(a)  Rotation at pelvic floor</w:t>
      </w:r>
    </w:p>
    <w:p>
      <w:pPr>
        <w:spacing w:after="20" w:before="0"/>
      </w:pPr>
      <w:r>
        <w:rPr>
          <w:b w:val="0"/>
          <w:i w:val="0"/>
          <w:sz w:val="21"/>
        </w:rPr>
        <w:t>(b)  Largest skull diameter fixed that doesn’t goes back</w:t>
      </w:r>
    </w:p>
    <w:p>
      <w:pPr>
        <w:spacing w:after="20" w:before="0"/>
      </w:pPr>
      <w:r>
        <w:rPr>
          <w:b w:val="0"/>
          <w:i w:val="0"/>
          <w:sz w:val="21"/>
        </w:rPr>
        <w:t>(c)  Largest diameter at ischial spines</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Crowning is the stage of the second stage of labour when the fetal head (largest skull diameter, biparietal) is fixed at the vulval outlet and NO LONGER recedes between contractions — the perineum bulges and the head is visible. It is the point at which an episiotomy is usually given.</w:t>
      </w:r>
    </w:p>
    <w:p>
      <w:pPr>
        <w:spacing w:after="20" w:before="0"/>
      </w:pPr>
      <w:r>
        <w:rPr>
          <w:b/>
        </w:rPr>
        <w:t xml:space="preserve">🔍 Key Clues: </w:t>
      </w:r>
      <w:r>
        <w:t>'Crowning = head fixed at the outlet, doesn't go back between contractions'.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Rotation at the pelvic floor describes internal rotation of the head. | c — The largest diameter at the ischial spines is the station/engagement concept. | d — A correct option exists (b).</w:t>
      </w:r>
    </w:p>
    <w:p>
      <w:pPr>
        <w:spacing w:after="20" w:before="0"/>
      </w:pPr>
      <w:r>
        <w:rPr>
          <w:b/>
          <w:color w:val="B45F06"/>
        </w:rPr>
        <w:t xml:space="preserve">⚠️ Exam Trap: </w:t>
      </w:r>
      <w:r>
        <w:t>Crowning ≠ engagement: engagement is at the pelvic inlet (0 station); crowning is at the outlet.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Crowning = head visible and fixed at the outlet — birth imminent, episiotomy if planned.</w:t>
      </w:r>
    </w:p>
    <w:p>
      <w:pPr>
        <w:spacing w:after="0" w:before="0"/>
      </w:pPr>
      <w:r>
        <w:rPr>
          <w:b/>
          <w:i w:val="0"/>
          <w:sz w:val="21"/>
        </w:rPr>
        <w:t>Positive Marks: 1    Negative Marks: 0.25</w:t>
      </w:r>
    </w:p>
    <w:p>
      <w:pPr>
        <w:spacing w:before="280" w:after="40"/>
      </w:pPr>
      <w:r>
        <w:rPr>
          <w:b/>
        </w:rPr>
        <w:t xml:space="preserve">Question: </w:t>
      </w:r>
      <w:r>
        <w:t>All indicators are age independent, except:</w:t>
      </w:r>
    </w:p>
    <w:p>
      <w:pPr>
        <w:spacing w:after="20" w:before="0"/>
      </w:pPr>
      <w:r>
        <w:rPr>
          <w:b w:val="0"/>
          <w:i w:val="0"/>
          <w:sz w:val="21"/>
        </w:rPr>
        <w:t>(a)  Chest circumference</w:t>
      </w:r>
    </w:p>
    <w:p>
      <w:pPr>
        <w:spacing w:after="20" w:before="0"/>
      </w:pPr>
      <w:r>
        <w:rPr>
          <w:b w:val="0"/>
          <w:i w:val="0"/>
          <w:sz w:val="21"/>
        </w:rPr>
        <w:t>(b)  BMI</w:t>
      </w:r>
    </w:p>
    <w:p>
      <w:pPr>
        <w:spacing w:after="20" w:before="0"/>
      </w:pPr>
      <w:r>
        <w:rPr>
          <w:b w:val="0"/>
          <w:i w:val="0"/>
          <w:sz w:val="21"/>
        </w:rPr>
        <w:t>(c)  Weight for height</w:t>
      </w:r>
    </w:p>
    <w:p>
      <w:pPr>
        <w:spacing w:after="20" w:before="0"/>
      </w:pPr>
      <w:r>
        <w:rPr>
          <w:b w:val="0"/>
          <w:i w:val="0"/>
          <w:sz w:val="21"/>
        </w:rPr>
        <w:t>(d)  MUAC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Age-independent nutrition indicators are BMI, weight-for-height and MUAC (they compare against norms without needing exact age). Chest circumference is AGE-DEPENDENT — it changes with growth, so it cannot be used as an age-independent indicator.</w:t>
      </w:r>
    </w:p>
    <w:p>
      <w:pPr>
        <w:spacing w:after="20" w:before="0"/>
      </w:pPr>
      <w:r>
        <w:rPr>
          <w:b/>
        </w:rPr>
        <w:t xml:space="preserve">🔍 Key Clues: </w:t>
      </w:r>
      <w:r>
        <w:t>'Age-independent = BMI, WFH, MUAC; chest circumference needs 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BMI is age-independent in this context. | c — Weight-for-height is age-independent. | d — MUAC is age-independent.</w:t>
      </w:r>
    </w:p>
    <w:p>
      <w:pPr>
        <w:spacing w:after="20" w:before="0"/>
      </w:pPr>
      <w:r>
        <w:rPr>
          <w:b/>
          <w:color w:val="B45F06"/>
        </w:rPr>
        <w:t xml:space="preserve">⚠️ Exam Trap: </w:t>
      </w:r>
      <w:r>
        <w:t>MUAC has age-specific cut-offs in practice, but in this classic question it is grouped with age-independent indicators.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Age-independent indicators: BMI, weight-for-height, MUAC; chest circumference is age-dependent.</w:t>
      </w:r>
    </w:p>
    <w:p>
      <w:pPr>
        <w:spacing w:after="0" w:before="0"/>
      </w:pPr>
      <w:r>
        <w:rPr>
          <w:b/>
          <w:i w:val="0"/>
          <w:sz w:val="21"/>
        </w:rPr>
        <w:t>Positive Marks: 1    Negative Marks: 0.25</w:t>
      </w:r>
    </w:p>
    <w:p>
      <w:pPr>
        <w:spacing w:before="280" w:after="40"/>
      </w:pPr>
      <w:r>
        <w:rPr>
          <w:b/>
        </w:rPr>
        <w:t xml:space="preserve">Question: </w:t>
      </w:r>
      <w:r>
        <w:t>Diseases that occur in 5 to 7 years of interval are called:</w:t>
      </w:r>
    </w:p>
    <w:p>
      <w:pPr>
        <w:spacing w:after="20" w:before="0"/>
      </w:pPr>
      <w:r>
        <w:rPr>
          <w:b w:val="0"/>
          <w:i w:val="0"/>
          <w:sz w:val="21"/>
        </w:rPr>
        <w:t>(a)  Secular Trend</w:t>
      </w:r>
    </w:p>
    <w:p>
      <w:pPr>
        <w:spacing w:after="20" w:before="0"/>
      </w:pPr>
      <w:r>
        <w:rPr>
          <w:b w:val="0"/>
          <w:i w:val="0"/>
          <w:sz w:val="21"/>
        </w:rPr>
        <w:t>(b)  Time trend</w:t>
      </w:r>
    </w:p>
    <w:p>
      <w:pPr>
        <w:spacing w:after="20" w:before="0"/>
      </w:pPr>
      <w:r>
        <w:rPr>
          <w:b w:val="0"/>
          <w:i w:val="0"/>
          <w:sz w:val="21"/>
        </w:rPr>
        <w:t>(c)  Periodic trend</w:t>
      </w:r>
    </w:p>
    <w:p>
      <w:pPr>
        <w:spacing w:after="20" w:before="0"/>
      </w:pPr>
      <w:r>
        <w:rPr>
          <w:b w:val="0"/>
          <w:i w:val="0"/>
          <w:sz w:val="21"/>
        </w:rPr>
        <w:t>(d)  Cyclic trend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CYCLIC (seasonal/periodic) trend is the regular recurrence of a disease at predictable intervals — e.g. influenza every 1–3 years, measles every 2–3 years, whooping cough every 3–5 years — which matches the '5–7 year interval' idea of regular cycles. Secular trends are long-term changes over decades.</w:t>
      </w:r>
    </w:p>
    <w:p>
      <w:pPr>
        <w:spacing w:after="20" w:before="0"/>
      </w:pPr>
      <w:r>
        <w:rPr>
          <w:b/>
        </w:rPr>
        <w:t xml:space="preserve">🔍 Key Clues: </w:t>
      </w:r>
      <w:r>
        <w:t>'Regular 5–7 year recurrence = cyclic trend' (predictable cycles).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Secular trend = long-term (decades) change in disease frequency. | b — Time trend is a generic term for change over time. | c — Periodic trend implies irregular periodicity.</w:t>
      </w:r>
    </w:p>
    <w:p>
      <w:pPr>
        <w:spacing w:after="20" w:before="0"/>
      </w:pPr>
      <w:r>
        <w:rPr>
          <w:b/>
          <w:color w:val="B45F06"/>
        </w:rPr>
        <w:t xml:space="preserve">⚠️ Exam Trap: </w:t>
      </w:r>
      <w:r>
        <w:t>Cyclic = regular recurring cycles; secular = long-term drift over many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Cyclic trend = disease recurrence at regular intervals (influenza, measles cycles).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