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In clinical setup KCL bolus is contraindicated because: (MSN)</w:t>
      </w:r>
    </w:p>
    <w:p>
      <w:pPr>
        <w:spacing w:after="20" w:before="0"/>
      </w:pPr>
      <w:r>
        <w:rPr>
          <w:b w:val="0"/>
          <w:i w:val="0"/>
          <w:sz w:val="21"/>
        </w:rPr>
        <w:t>(a)  It may lead to cardiac arrest and sudden death</w:t>
      </w:r>
    </w:p>
    <w:p>
      <w:pPr>
        <w:spacing w:after="20" w:before="0"/>
      </w:pPr>
      <w:r>
        <w:rPr>
          <w:b w:val="0"/>
          <w:i w:val="0"/>
          <w:sz w:val="21"/>
        </w:rPr>
        <w:t>(b)  It leads to hypotension only</w:t>
      </w:r>
    </w:p>
    <w:p>
      <w:pPr>
        <w:spacing w:after="20" w:before="0"/>
      </w:pPr>
      <w:r>
        <w:rPr>
          <w:b w:val="0"/>
          <w:i w:val="0"/>
          <w:sz w:val="21"/>
        </w:rPr>
        <w:t>(c)  It may damage the veins of the patient</w:t>
      </w:r>
    </w:p>
    <w:p>
      <w:pPr>
        <w:spacing w:after="20" w:before="0"/>
      </w:pPr>
      <w:r>
        <w:rPr>
          <w:b w:val="0"/>
          <w:i w:val="0"/>
          <w:sz w:val="21"/>
        </w:rPr>
        <w:t>(d)  None of the above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Rapid IV potassium (KCl bolus) causes acute HYPERKALAEMIA, which can trigger fatal cardiac arrhythmias — ventricular fibrillation and CARDIAC ARREST. KCl must always be diluted and infused slowly (peripheral ≤ 10–20 mEq/h) with cardiac monitoring.</w:t>
      </w:r>
    </w:p>
    <w:p>
      <w:pPr>
        <w:spacing w:after="20" w:before="0"/>
      </w:pPr>
      <w:r>
        <w:rPr>
          <w:b/>
        </w:rPr>
        <w:t xml:space="preserve">🔍 Key Clues: </w:t>
      </w:r>
      <w:r>
        <w:t>'KCl bolus = hyperkalaemia = cardiac arrest — never give IV push'.</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Hypotension is not the main danger of KCl bolus. | c — Vein irritation matters, but cardiac arrest is the lethal risk. | d — A correct option exists (a).</w:t>
      </w:r>
    </w:p>
    <w:p>
      <w:pPr>
        <w:spacing w:after="20" w:before="0"/>
      </w:pPr>
      <w:r>
        <w:rPr>
          <w:b/>
          <w:color w:val="B45F06"/>
        </w:rPr>
        <w:t xml:space="preserve">⚠️ Exam Trap: </w:t>
      </w:r>
      <w:r>
        <w:t>KCl: 'dilute, slow, monitor' — an IV push of potassium is a sentinel event.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KCl bolus → hyperkalaemia → fatal arrhythmia/cardiac arrest; always dilute and infuse slowly.</w:t>
      </w:r>
    </w:p>
    <w:p>
      <w:pPr>
        <w:spacing w:after="0" w:before="0"/>
      </w:pPr>
      <w:r>
        <w:rPr>
          <w:b/>
          <w:i w:val="0"/>
          <w:sz w:val="21"/>
        </w:rPr>
        <w:t>Positive Marks: 1    Negative Marks: 0.25</w:t>
      </w:r>
    </w:p>
    <w:p>
      <w:pPr>
        <w:spacing w:before="280" w:after="40"/>
      </w:pPr>
      <w:r>
        <w:rPr>
          <w:b/>
        </w:rPr>
        <w:t xml:space="preserve">Question: </w:t>
      </w:r>
      <w:r>
        <w:t>Which of the following is needed in the management of the PIH? (OBG)</w:t>
      </w:r>
    </w:p>
    <w:p>
      <w:pPr>
        <w:spacing w:after="20" w:before="0"/>
      </w:pPr>
      <w:r>
        <w:rPr>
          <w:b w:val="0"/>
          <w:i w:val="0"/>
          <w:sz w:val="21"/>
        </w:rPr>
        <w:t>(a)  Vitamin C</w:t>
      </w:r>
    </w:p>
    <w:p>
      <w:pPr>
        <w:spacing w:after="20" w:before="0"/>
      </w:pPr>
      <w:r>
        <w:rPr>
          <w:b w:val="0"/>
          <w:i w:val="0"/>
          <w:sz w:val="21"/>
        </w:rPr>
        <w:t>(b)  Vitamin E</w:t>
      </w:r>
    </w:p>
    <w:p>
      <w:pPr>
        <w:spacing w:after="20" w:before="0"/>
      </w:pPr>
      <w:r>
        <w:rPr>
          <w:b w:val="0"/>
          <w:i w:val="0"/>
          <w:sz w:val="21"/>
        </w:rPr>
        <w:t>(c)  Folic acid</w:t>
      </w:r>
    </w:p>
    <w:p>
      <w:pPr>
        <w:spacing w:after="20" w:before="0"/>
      </w:pPr>
      <w:r>
        <w:rPr>
          <w:b w:val="0"/>
          <w:i w:val="0"/>
          <w:sz w:val="21"/>
        </w:rPr>
        <w:t>(d)  Calcium</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CALCIUM is used in the prevention and adjunctive management of pregnancy-induced hypertension (PIH)/pre-eclampsia — calcium supplementation (1.5–2 g/day) reduces the risk of pre-eclampsia in low-calcium populations, alongside magnesium sulphate for severe disease and antihypertensives (labetalol, nifedipine).</w:t>
      </w:r>
    </w:p>
    <w:p>
      <w:pPr>
        <w:spacing w:after="20" w:before="0"/>
      </w:pPr>
      <w:r>
        <w:rPr>
          <w:b/>
        </w:rPr>
        <w:t xml:space="preserve">🔍 Key Clues: </w:t>
      </w:r>
      <w:r>
        <w:t>'PIH management/prevention = calcium + magnesium sulphate for seizures'.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Vitamin C has no role in PIH. | b — Vitamin E has no proven role. | c — Folic acid prevents anaemia/NTDs, not PIH.</w:t>
      </w:r>
    </w:p>
    <w:p>
      <w:pPr>
        <w:spacing w:after="20" w:before="0"/>
      </w:pPr>
      <w:r>
        <w:rPr>
          <w:b/>
          <w:color w:val="B45F06"/>
        </w:rPr>
        <w:t xml:space="preserve">⚠️ Exam Trap: </w:t>
      </w:r>
      <w:r>
        <w:t>Distinguish: calcium = prevention; magnesium sulphate = seizure prophylaxis in severe pre-eclampsia/eclampsia.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PIH/pre-eclampsia: calcium (prevention) + antihypertensives + MgSO₄ for seizures.</w:t>
      </w:r>
    </w:p>
    <w:p>
      <w:pPr>
        <w:spacing w:after="0" w:before="0"/>
      </w:pPr>
      <w:r>
        <w:rPr>
          <w:b/>
          <w:i w:val="0"/>
          <w:sz w:val="21"/>
        </w:rPr>
        <w:t>Positive Marks: 1    Negative Marks: 0.25</w:t>
      </w:r>
    </w:p>
    <w:p>
      <w:pPr>
        <w:spacing w:before="280" w:after="40"/>
      </w:pPr>
      <w:r>
        <w:rPr>
          <w:b/>
        </w:rPr>
        <w:t xml:space="preserve">Question: </w:t>
      </w:r>
      <w:r>
        <w:t>Most common congenital malformation in overt diabetes in pregnancy: (PEDIA)</w:t>
      </w:r>
    </w:p>
    <w:p>
      <w:pPr>
        <w:spacing w:after="20" w:before="0"/>
      </w:pPr>
      <w:r>
        <w:rPr>
          <w:b w:val="0"/>
          <w:i w:val="0"/>
          <w:sz w:val="21"/>
        </w:rPr>
        <w:t>(a)  Ventricular septal defect</w:t>
      </w:r>
    </w:p>
    <w:p>
      <w:pPr>
        <w:spacing w:after="20" w:before="0"/>
      </w:pPr>
      <w:r>
        <w:rPr>
          <w:b w:val="0"/>
          <w:i w:val="0"/>
          <w:sz w:val="21"/>
        </w:rPr>
        <w:t>(b)  Sacral agenesis</w:t>
      </w:r>
    </w:p>
    <w:p>
      <w:pPr>
        <w:spacing w:after="20" w:before="0"/>
      </w:pPr>
      <w:r>
        <w:rPr>
          <w:b w:val="0"/>
          <w:i w:val="0"/>
          <w:sz w:val="21"/>
        </w:rPr>
        <w:t>(c)  Tetralogy of fallot</w:t>
      </w:r>
    </w:p>
    <w:p>
      <w:pPr>
        <w:spacing w:after="20" w:before="0"/>
      </w:pPr>
      <w:r>
        <w:rPr>
          <w:b w:val="0"/>
          <w:i w:val="0"/>
          <w:sz w:val="21"/>
        </w:rPr>
        <w:t>(d)  Atrial septal defect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Maternal (overt) diabetes increases the risk of congenital malformations; CONGENITAL HEART DEFECTS are the most common overall, with VENTRICULAR SEPTAL DEFECT (VSD) the classic leading lesion. Sacral agenesis (caudal regression) is highly specific for diabetic embryopathy but less common than cardiac defects.</w:t>
      </w:r>
    </w:p>
    <w:p>
      <w:pPr>
        <w:spacing w:after="20" w:before="0"/>
      </w:pPr>
      <w:r>
        <w:rPr>
          <w:b/>
        </w:rPr>
        <w:t xml:space="preserve">🔍 Key Clues: </w:t>
      </w:r>
      <w:r>
        <w:t>Diabetic embryopathy: cardiac defects most common (VSD); sacral agenesis most specific.</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Sacral agenesis is pathognomonic but not the most common. | c — TOF is a cyanotic lesion, less commonly the first answer. | d — ASD is a cardiac defect but VSD is the classic one.</w:t>
      </w:r>
    </w:p>
    <w:p>
      <w:pPr>
        <w:spacing w:after="20" w:before="0"/>
      </w:pPr>
      <w:r>
        <w:rPr>
          <w:b/>
          <w:color w:val="B45F06"/>
        </w:rPr>
        <w:t xml:space="preserve">⚠️ Exam Trap: </w:t>
      </w:r>
      <w:r>
        <w:t>'Most common = VSD; most specific = sacral agenesis' — don't swap them.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Diabetic pregnancy: VSD = most common malformation; sacral agenesis = most specific.</w:t>
      </w:r>
    </w:p>
    <w:p>
      <w:pPr>
        <w:spacing w:after="0" w:before="0"/>
      </w:pPr>
      <w:r>
        <w:rPr>
          <w:b/>
          <w:i w:val="0"/>
          <w:sz w:val="21"/>
        </w:rPr>
        <w:t>Positive Marks: 1    Negative Marks: 0.25</w:t>
      </w:r>
    </w:p>
    <w:p>
      <w:pPr>
        <w:spacing w:before="280" w:after="40"/>
      </w:pPr>
      <w:r>
        <w:rPr>
          <w:b/>
        </w:rPr>
        <w:t xml:space="preserve">Question: </w:t>
      </w:r>
      <w:r>
        <w:t>A female patient underwent modified radical mastectomy. She develops winging of the scapula. It is due to the damage to: (MSN)</w:t>
      </w:r>
    </w:p>
    <w:p>
      <w:pPr>
        <w:spacing w:after="20" w:before="0"/>
      </w:pPr>
      <w:r>
        <w:rPr>
          <w:b w:val="0"/>
          <w:i w:val="0"/>
          <w:sz w:val="21"/>
        </w:rPr>
        <w:t>(a)  Long intrathoracic nerve</w:t>
      </w:r>
    </w:p>
    <w:p>
      <w:pPr>
        <w:spacing w:after="20" w:before="0"/>
      </w:pPr>
      <w:r>
        <w:rPr>
          <w:b w:val="0"/>
          <w:i w:val="0"/>
          <w:sz w:val="21"/>
        </w:rPr>
        <w:t>(b)  Intercostal brachial nerve</w:t>
      </w:r>
    </w:p>
    <w:p>
      <w:pPr>
        <w:spacing w:after="20" w:before="0"/>
      </w:pPr>
      <w:r>
        <w:rPr>
          <w:b w:val="0"/>
          <w:i w:val="0"/>
          <w:sz w:val="21"/>
        </w:rPr>
        <w:t>(c)  Phrenic nerve</w:t>
      </w:r>
    </w:p>
    <w:p>
      <w:pPr>
        <w:spacing w:after="20" w:before="0"/>
      </w:pPr>
      <w:r>
        <w:rPr>
          <w:b w:val="0"/>
          <w:i w:val="0"/>
          <w:sz w:val="21"/>
        </w:rPr>
        <w:t>(d)  Axillary nerve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WINGING of the scapula is caused by injury to the LONG THORACIC nerve (the nerve of Bell), which supplies the serratus anterior — its paralysis lets the medial border of the scapula lift off the chest wall. The long thoracic nerve can be injured during axillary dissection in mastectomy.</w:t>
      </w:r>
    </w:p>
    <w:p>
      <w:pPr>
        <w:spacing w:after="20" w:before="0"/>
      </w:pPr>
      <w:r>
        <w:rPr>
          <w:b/>
        </w:rPr>
        <w:t xml:space="preserve">🔍 Key Clues: </w:t>
      </w:r>
      <w:r>
        <w:t>'Winged scapula = long thoracic nerve (serratus anterior)'.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Intercostobrachial nerve injury causes numbness of the inner arm. | c — Phrenic nerve injury paralyses the diaphragm. | d — Axillary nerve injury affects the deltoid (shoulder abduction).</w:t>
      </w:r>
    </w:p>
    <w:p>
      <w:pPr>
        <w:spacing w:after="20" w:before="0"/>
      </w:pPr>
      <w:r>
        <w:rPr>
          <w:b/>
          <w:color w:val="B45F06"/>
        </w:rPr>
        <w:t xml:space="preserve">⚠️ Exam Trap: </w:t>
      </w:r>
      <w:r>
        <w:t>Winged scapula → long thoracic/serratus anterior; deltoid weakness → axillary nerve.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Winged scapula after mastectomy = long thoracic nerve injury.</w:t>
      </w:r>
    </w:p>
    <w:p>
      <w:pPr>
        <w:spacing w:after="0" w:before="0"/>
      </w:pPr>
      <w:r>
        <w:rPr>
          <w:b/>
          <w:i w:val="0"/>
          <w:sz w:val="21"/>
        </w:rPr>
        <w:t>Positive Marks: 1    Negative Marks: 0.25</w:t>
      </w:r>
    </w:p>
    <w:p>
      <w:pPr>
        <w:spacing w:before="280" w:after="40"/>
      </w:pPr>
      <w:r>
        <w:rPr>
          <w:b/>
        </w:rPr>
        <w:t xml:space="preserve">Question: </w:t>
      </w:r>
      <w:r>
        <w:t>To ensure proper client education, the nurse should teach the client taking sublingual nitroglycerine to expect which of the following responses with administration? (MSN)</w:t>
      </w:r>
    </w:p>
    <w:p>
      <w:pPr>
        <w:spacing w:after="20" w:before="0"/>
      </w:pPr>
      <w:r>
        <w:rPr>
          <w:b w:val="0"/>
          <w:i w:val="0"/>
          <w:sz w:val="21"/>
        </w:rPr>
        <w:t>(a)  Stinging, burning when placed under the tongue</w:t>
      </w:r>
    </w:p>
    <w:p>
      <w:pPr>
        <w:spacing w:after="20" w:before="0"/>
      </w:pPr>
      <w:r>
        <w:rPr>
          <w:b w:val="0"/>
          <w:i w:val="0"/>
          <w:sz w:val="21"/>
        </w:rPr>
        <w:t>(b)  Temporary blurring of vision</w:t>
      </w:r>
    </w:p>
    <w:p>
      <w:pPr>
        <w:spacing w:after="20" w:before="0"/>
      </w:pPr>
      <w:r>
        <w:rPr>
          <w:b w:val="0"/>
          <w:i w:val="0"/>
          <w:sz w:val="21"/>
        </w:rPr>
        <w:t>(c)  Generalized urticaria with prolonged use</w:t>
      </w:r>
    </w:p>
    <w:p>
      <w:pPr>
        <w:spacing w:after="20" w:before="0"/>
      </w:pPr>
      <w:r>
        <w:rPr>
          <w:b w:val="0"/>
          <w:i w:val="0"/>
          <w:sz w:val="21"/>
        </w:rPr>
        <w:t>(d)  Urinary frequency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Sublingual nitroglycerin typically causes a STINGING or BURNING sensation under the tongue (indicating the tablet is fresh and potent), plus a headache and facial flushing from vasodilation. A burning/stinging sensation is expected and is part of patient teaching.</w:t>
      </w:r>
    </w:p>
    <w:p>
      <w:pPr>
        <w:spacing w:after="20" w:before="0"/>
      </w:pPr>
      <w:r>
        <w:rPr>
          <w:b/>
        </w:rPr>
        <w:t xml:space="preserve">🔍 Key Clues: </w:t>
      </w:r>
      <w:r>
        <w:t>'NTG sublingual: expect stinging/burning, headache, flushing'.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Blurred vision is not an expected NTG response. | c — Urticaria is an allergic reaction, not expected. | d — Urinary frequency is unrelated.</w:t>
      </w:r>
    </w:p>
    <w:p>
      <w:pPr>
        <w:spacing w:after="20" w:before="0"/>
      </w:pPr>
      <w:r>
        <w:rPr>
          <w:b/>
          <w:color w:val="B45F06"/>
        </w:rPr>
        <w:t xml:space="preserve">⚠️ Exam Trap: </w:t>
      </w:r>
      <w:r>
        <w:t>Teach patients: sit down, take one tablet, if no relief in 5 min repeat (up to 3), call emergency if no relief after 15 min.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Sublingual NTG: stinging/burning + headache + flushing are expected effects.</w:t>
      </w:r>
    </w:p>
    <w:p>
      <w:pPr>
        <w:spacing w:after="0" w:before="0"/>
      </w:pPr>
      <w:r>
        <w:rPr>
          <w:b/>
          <w:i w:val="0"/>
          <w:sz w:val="21"/>
        </w:rPr>
        <w:t>Positive Marks: 1    Negative Marks: 0.25</w:t>
      </w:r>
    </w:p>
    <w:p>
      <w:pPr>
        <w:spacing w:before="280" w:after="40"/>
      </w:pPr>
      <w:r>
        <w:rPr>
          <w:b/>
        </w:rPr>
        <w:t xml:space="preserve">Question: </w:t>
      </w:r>
      <w:r>
        <w:t>At what point blood pressure is considered as “high”? (MSN)</w:t>
      </w:r>
    </w:p>
    <w:p>
      <w:pPr>
        <w:spacing w:after="20" w:before="0"/>
      </w:pPr>
      <w:r>
        <w:rPr>
          <w:b w:val="0"/>
          <w:i w:val="0"/>
          <w:sz w:val="21"/>
        </w:rPr>
        <w:t>(a)  120/80 mm of Hg</w:t>
      </w:r>
    </w:p>
    <w:p>
      <w:pPr>
        <w:spacing w:after="20" w:before="0"/>
      </w:pPr>
      <w:r>
        <w:rPr>
          <w:b w:val="0"/>
          <w:i w:val="0"/>
          <w:sz w:val="21"/>
        </w:rPr>
        <w:t>(b)  130/80 mm of Hg</w:t>
      </w:r>
    </w:p>
    <w:p>
      <w:pPr>
        <w:spacing w:after="20" w:before="0"/>
      </w:pPr>
      <w:r>
        <w:rPr>
          <w:b w:val="0"/>
          <w:i w:val="0"/>
          <w:sz w:val="21"/>
        </w:rPr>
        <w:t>(c)  140/90 mm of Hg</w:t>
      </w:r>
    </w:p>
    <w:p>
      <w:pPr>
        <w:spacing w:after="20" w:before="0"/>
      </w:pPr>
      <w:r>
        <w:rPr>
          <w:b w:val="0"/>
          <w:i w:val="0"/>
          <w:sz w:val="21"/>
        </w:rPr>
        <w:t>(d)  210/120 mm of Hg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the ACC/AHA 2017 guideline (followed in this paper), BP of 130/80 mmHg or more is classified as HYPERTENSION (stage 1), making 130/80 the point at which BP is considered 'high'. Under the older JNC-7/Indian criteria the threshold was 140/90.</w:t>
      </w:r>
    </w:p>
    <w:p>
      <w:pPr>
        <w:spacing w:after="20" w:before="0"/>
      </w:pPr>
      <w:r>
        <w:rPr>
          <w:b/>
        </w:rPr>
        <w:t xml:space="preserve">🔍 Key Clues: </w:t>
      </w:r>
      <w:r>
        <w:t>BP 'high' = ≥ 130/80 (ACC/AHA 2017); traditional Indian cut-off 140/90.</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120/80 is normal (elevated at most). | c — 140/90 is the older/traditional threshold. | d — 210/120 is a hypertensive emergency, far beyond 'high'.</w:t>
      </w:r>
    </w:p>
    <w:p>
      <w:pPr>
        <w:spacing w:after="20" w:before="0"/>
      </w:pPr>
      <w:r>
        <w:rPr>
          <w:b/>
          <w:color w:val="B45F06"/>
        </w:rPr>
        <w:t xml:space="preserve">⚠️ Exam Trap: </w:t>
      </w:r>
      <w:r>
        <w:t>Know both thresholds: 130/80 (new) vs 140/90 (old/Indian) — match the guideline the paper follows.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Hypertension: ≥ 130/80 (ACC/AHA 2017) or ≥ 140/90 (traditional/Indian).</w:t>
      </w:r>
    </w:p>
    <w:p>
      <w:pPr>
        <w:spacing w:after="0" w:before="0"/>
      </w:pPr>
      <w:r>
        <w:rPr>
          <w:b/>
          <w:i w:val="0"/>
          <w:sz w:val="21"/>
        </w:rPr>
        <w:t>Positive Marks: 1    Negative Marks: 0.25</w:t>
      </w:r>
    </w:p>
    <w:p>
      <w:pPr>
        <w:spacing w:before="280" w:after="40"/>
      </w:pPr>
      <w:r>
        <w:rPr>
          <w:b/>
        </w:rPr>
        <w:t xml:space="preserve">Question: </w:t>
      </w:r>
      <w:r>
        <w:t>Solution used for disinfection in a COVID patient is: (MSN)</w:t>
      </w:r>
    </w:p>
    <w:p>
      <w:pPr>
        <w:spacing w:after="20" w:before="0"/>
      </w:pPr>
      <w:r>
        <w:rPr>
          <w:b w:val="0"/>
          <w:i w:val="0"/>
          <w:sz w:val="21"/>
        </w:rPr>
        <w:t>(a)  Hydrochloric acid</w:t>
      </w:r>
    </w:p>
    <w:p>
      <w:pPr>
        <w:spacing w:after="20" w:before="0"/>
      </w:pPr>
      <w:r>
        <w:rPr>
          <w:b w:val="0"/>
          <w:i w:val="0"/>
          <w:sz w:val="21"/>
        </w:rPr>
        <w:t>(b)  Sodium hypochlorite</w:t>
      </w:r>
    </w:p>
    <w:p>
      <w:pPr>
        <w:spacing w:after="20" w:before="0"/>
      </w:pPr>
      <w:r>
        <w:rPr>
          <w:b w:val="0"/>
          <w:i w:val="0"/>
          <w:sz w:val="21"/>
        </w:rPr>
        <w:t>(c)  Sulfuric acid</w:t>
      </w:r>
    </w:p>
    <w:p>
      <w:pPr>
        <w:spacing w:after="20" w:before="0"/>
      </w:pPr>
      <w:r>
        <w:rPr>
          <w:b w:val="0"/>
          <w:i w:val="0"/>
          <w:sz w:val="21"/>
        </w:rPr>
        <w:t>(d)  Phenol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SODIUM HYPOCHLORITE (bleach) solution is the recommended disinfectant for surfaces in COVID-19 care — e.g. 1% (10,000 ppm) for blood/body-fluid spills and 0.1% for routine surface disinfection. Strong acids (HCl, H₂SO₄) are corrosive and never used.</w:t>
      </w:r>
    </w:p>
    <w:p>
      <w:pPr>
        <w:spacing w:after="20" w:before="0"/>
      </w:pPr>
      <w:r>
        <w:rPr>
          <w:b/>
        </w:rPr>
        <w:t xml:space="preserve">🔍 Key Clues: </w:t>
      </w:r>
      <w:r>
        <w:t>'COVID disinfection = sodium hypochlorite (bleach), 0.1–1%'.</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Hydrochloric acid is corrosive, not a disinfectant. | c — Sulfuric acid is corrosive, not a disinfectant. | d — Phenol is an older disinfectant, not the COVID standard.</w:t>
      </w:r>
    </w:p>
    <w:p>
      <w:pPr>
        <w:spacing w:after="20" w:before="0"/>
      </w:pPr>
      <w:r>
        <w:rPr>
          <w:b/>
          <w:color w:val="B45F06"/>
        </w:rPr>
        <w:t xml:space="preserve">⚠️ Exam Trap: </w:t>
      </w:r>
      <w:r>
        <w:t>Sodium hypochlorite = bleach = the universal surface disinfectant during COVID.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COVID surface disinfection: sodium hypochlorite (0.1–1% bleach).</w:t>
      </w:r>
    </w:p>
    <w:p>
      <w:pPr>
        <w:spacing w:after="0" w:before="0"/>
      </w:pPr>
      <w:r>
        <w:rPr>
          <w:b/>
          <w:i w:val="0"/>
          <w:sz w:val="21"/>
        </w:rPr>
        <w:t>Positive Marks: 1    Negative Marks: 0.25</w:t>
      </w:r>
    </w:p>
    <w:p>
      <w:pPr>
        <w:spacing w:before="280" w:after="40"/>
      </w:pPr>
      <w:r>
        <w:rPr>
          <w:b/>
        </w:rPr>
        <w:t xml:space="preserve">Question: </w:t>
      </w:r>
      <w:r>
        <w:t>The most infectious disease leading to child mortality is: (CHN)</w:t>
      </w:r>
    </w:p>
    <w:p>
      <w:pPr>
        <w:spacing w:after="20" w:before="0"/>
      </w:pPr>
      <w:r>
        <w:rPr>
          <w:b w:val="0"/>
          <w:i w:val="0"/>
          <w:sz w:val="21"/>
        </w:rPr>
        <w:t>(a)  Diarrhea</w:t>
      </w:r>
    </w:p>
    <w:p>
      <w:pPr>
        <w:spacing w:after="20" w:before="0"/>
      </w:pPr>
      <w:r>
        <w:rPr>
          <w:b w:val="0"/>
          <w:i w:val="0"/>
          <w:sz w:val="21"/>
        </w:rPr>
        <w:t>(b)  Pneumonia</w:t>
      </w:r>
    </w:p>
    <w:p>
      <w:pPr>
        <w:spacing w:after="20" w:before="0"/>
      </w:pPr>
      <w:r>
        <w:rPr>
          <w:b w:val="0"/>
          <w:i w:val="0"/>
          <w:sz w:val="21"/>
        </w:rPr>
        <w:t>(c)  Acute epiglottitis</w:t>
      </w:r>
    </w:p>
    <w:p>
      <w:pPr>
        <w:spacing w:after="20" w:before="0"/>
      </w:pPr>
      <w:r>
        <w:rPr>
          <w:b w:val="0"/>
          <w:i w:val="0"/>
          <w:sz w:val="21"/>
        </w:rPr>
        <w:t>(d)  CROUP</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Per the paper key, CROUP (acute viral laryngotracheobronchitis) is regarded as the most infectious (highly communicable, viral, airborne) among the options. Note: PNEUMONIA remains the single leading INFECTIOUS cause of child mortality worldwide — the paper keys croup for the 'infectious' wording.</w:t>
      </w:r>
    </w:p>
    <w:p>
      <w:pPr>
        <w:spacing w:after="20" w:before="0"/>
      </w:pPr>
      <w:r>
        <w:rPr>
          <w:b/>
        </w:rPr>
        <w:t xml:space="preserve">🔍 Key Clues: </w:t>
      </w:r>
      <w:r>
        <w:t>Paper key = croup (highly infectious viral airway disease); clinically pneumonia is the top killer.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Diarrhoea is a major killer but not 'most infectious' in this question. | b — Pneumonia is the leading killer overall but the key chooses croup. | c — Acute epiglottitis is bacterial and less common.</w:t>
      </w:r>
    </w:p>
    <w:p>
      <w:pPr>
        <w:spacing w:after="20" w:before="0"/>
      </w:pPr>
      <w:r>
        <w:rPr>
          <w:b/>
          <w:color w:val="B45F06"/>
        </w:rPr>
        <w:t xml:space="preserve">⚠️ Exam Trap: </w:t>
      </w:r>
      <w:r>
        <w:t>Don't confuse 'most infectious' with 'leading cause of mortality' — the paper keys croup.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Croup = highly infectious viral laryngotracheobronchitis; pneumonia = leading infectious killer.</w:t>
      </w:r>
    </w:p>
    <w:p>
      <w:pPr>
        <w:spacing w:after="0" w:before="0"/>
      </w:pPr>
      <w:r>
        <w:rPr>
          <w:b/>
          <w:i w:val="0"/>
          <w:sz w:val="21"/>
        </w:rPr>
        <w:t>Positive Marks: 1    Negative Marks: 0.25</w:t>
      </w:r>
    </w:p>
    <w:p>
      <w:pPr>
        <w:spacing w:before="280" w:after="40"/>
      </w:pPr>
      <w:r>
        <w:rPr>
          <w:b/>
        </w:rPr>
        <w:t xml:space="preserve">Question: </w:t>
      </w:r>
      <w:r>
        <w:t>Lactulose is prescribed for the patient suffering from Liver cirrhosis so as to: (MSN)</w:t>
      </w:r>
    </w:p>
    <w:p>
      <w:pPr>
        <w:spacing w:after="20" w:before="0"/>
      </w:pPr>
      <w:r>
        <w:rPr>
          <w:b w:val="0"/>
          <w:i w:val="0"/>
          <w:sz w:val="21"/>
        </w:rPr>
        <w:t>(a)  Prevent hepatic encephalopathy</w:t>
      </w:r>
    </w:p>
    <w:p>
      <w:pPr>
        <w:spacing w:after="20" w:before="0"/>
      </w:pPr>
      <w:r>
        <w:rPr>
          <w:b w:val="0"/>
          <w:i w:val="0"/>
          <w:sz w:val="21"/>
        </w:rPr>
        <w:t>(b)  Decrease production of bilirubin</w:t>
      </w:r>
    </w:p>
    <w:p>
      <w:pPr>
        <w:spacing w:after="20" w:before="0"/>
      </w:pPr>
      <w:r>
        <w:rPr>
          <w:b w:val="0"/>
          <w:i w:val="0"/>
          <w:sz w:val="21"/>
        </w:rPr>
        <w:t>(c)  Increase lactulose level in blood</w:t>
      </w:r>
    </w:p>
    <w:p>
      <w:pPr>
        <w:spacing w:after="20" w:before="0"/>
      </w:pPr>
      <w:r>
        <w:rPr>
          <w:b w:val="0"/>
          <w:i w:val="0"/>
          <w:sz w:val="21"/>
        </w:rPr>
        <w:t>(d)  Increase breakdown of bilirubin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LACTULOSE is a non-absorbable disaccharide given in cirrhosis to PREVENT/TREAT HEPATIC ENCEPHALOPATHY — it acidifies the colon, traps ammonia as ammonium and promotes its excretion, and acts as an osmotic laxative to remove nitrogenous waste. Target: 2–3 soft stools/day.</w:t>
      </w:r>
    </w:p>
    <w:p>
      <w:pPr>
        <w:spacing w:after="20" w:before="0"/>
      </w:pPr>
      <w:r>
        <w:rPr>
          <w:b/>
        </w:rPr>
        <w:t xml:space="preserve">🔍 Key Clues: </w:t>
      </w:r>
      <w:r>
        <w:t>'Lactulose = hepatic encephalopathy (acidifies gut, removes ammonia)'.</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Lactulose does not affect bilirubin production. | c — Lactulose is not absorbed into the blood. | d — Bilirubin breakdown is a liver/hemolysis process, not lactulose’s action.</w:t>
      </w:r>
    </w:p>
    <w:p>
      <w:pPr>
        <w:spacing w:after="20" w:before="0"/>
      </w:pPr>
      <w:r>
        <w:rPr>
          <w:b/>
          <w:color w:val="B45F06"/>
        </w:rPr>
        <w:t xml:space="preserve">⚠️ Exam Trap: </w:t>
      </w:r>
      <w:r>
        <w:t>Lactulose + rifaximin = the ammonia-lowering pair for encephalopathy.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Lactulose: prevents hepatic encephalopathy by trapping/excreting ammonia.</w:t>
      </w:r>
    </w:p>
    <w:p>
      <w:pPr>
        <w:spacing w:after="0" w:before="0"/>
      </w:pPr>
      <w:r>
        <w:rPr>
          <w:b/>
          <w:i w:val="0"/>
          <w:sz w:val="21"/>
        </w:rPr>
        <w:t>Positive Marks: 1    Negative Marks: 0.25</w:t>
      </w:r>
    </w:p>
    <w:p>
      <w:pPr>
        <w:spacing w:before="280" w:after="40"/>
      </w:pPr>
      <w:r>
        <w:rPr>
          <w:b/>
        </w:rPr>
        <w:t xml:space="preserve">Question: </w:t>
      </w:r>
      <w:r>
        <w:t>Example of (PTSD) Post-traumatic stress syndrome include: (MHN)</w:t>
      </w:r>
    </w:p>
    <w:p>
      <w:pPr>
        <w:spacing w:after="20" w:before="0"/>
      </w:pPr>
      <w:r>
        <w:rPr>
          <w:b w:val="0"/>
          <w:i w:val="0"/>
          <w:sz w:val="21"/>
        </w:rPr>
        <w:t>(a)  Divorce</w:t>
      </w:r>
    </w:p>
    <w:p>
      <w:pPr>
        <w:spacing w:after="20" w:before="0"/>
      </w:pPr>
      <w:r>
        <w:rPr>
          <w:b w:val="0"/>
          <w:i w:val="0"/>
          <w:sz w:val="21"/>
        </w:rPr>
        <w:t>(b)  Gunshot</w:t>
      </w:r>
    </w:p>
    <w:p>
      <w:pPr>
        <w:spacing w:after="20" w:before="0"/>
      </w:pPr>
      <w:r>
        <w:rPr>
          <w:b w:val="0"/>
          <w:i w:val="0"/>
          <w:sz w:val="21"/>
        </w:rPr>
        <w:t>(c)  Financial loss</w:t>
      </w:r>
    </w:p>
    <w:p>
      <w:pPr>
        <w:spacing w:after="20" w:before="0"/>
      </w:pPr>
      <w:r>
        <w:rPr>
          <w:b w:val="0"/>
          <w:i w:val="0"/>
          <w:sz w:val="21"/>
        </w:rPr>
        <w:t>(d)  All of above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PTSD follows exposure to a Criterion-A trauma — actual or threatened death, serious injury or sexual violence. A GUNSHOT (life-threatening assault) is the clear trauma among the options; divorce and financial loss are stressful life events, not PTSD-grade traumas.</w:t>
      </w:r>
    </w:p>
    <w:p>
      <w:pPr>
        <w:spacing w:after="20" w:before="0"/>
      </w:pPr>
      <w:r>
        <w:rPr>
          <w:b/>
        </w:rPr>
        <w:t xml:space="preserve">🔍 Key Clues: </w:t>
      </w:r>
      <w:r>
        <w:t>'PTSD = exposure to death/injury/threat — gunshot qualifies; divorce/financial loss don't'.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Divorce is stressful but not a Criterion-A trauma. | c — Financial loss is not a PTSD trauma. | d — Not all of the above are traumas.</w:t>
      </w:r>
    </w:p>
    <w:p>
      <w:pPr>
        <w:spacing w:after="20" w:before="0"/>
      </w:pPr>
      <w:r>
        <w:rPr>
          <w:b/>
          <w:color w:val="B45F06"/>
        </w:rPr>
        <w:t xml:space="preserve">⚠️ Exam Trap: </w:t>
      </w:r>
      <w:r>
        <w:t>PTSD requires a life-threatening event, not any stressor — that is the diagnostic gate.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PTSD trigger: actual/threatened death, injury or sexual violence (e.g. gunshot).</w:t>
      </w:r>
    </w:p>
    <w:p>
      <w:pPr>
        <w:spacing w:after="0" w:before="0"/>
      </w:pPr>
      <w:r>
        <w:rPr>
          <w:b/>
          <w:i w:val="0"/>
          <w:sz w:val="21"/>
        </w:rPr>
        <w:t>Positive Marks: 1    Negative Marks: 0.25</w:t>
      </w:r>
    </w:p>
    <w:p>
      <w:pPr>
        <w:spacing w:before="280" w:after="40"/>
      </w:pPr>
      <w:r>
        <w:rPr>
          <w:b/>
        </w:rPr>
        <w:t xml:space="preserve">Question: </w:t>
      </w:r>
      <w:r>
        <w:t>Which measure is used for growth monitoring at Anganwadi center? (CHN)</w:t>
      </w:r>
    </w:p>
    <w:p>
      <w:pPr>
        <w:spacing w:after="20" w:before="0"/>
      </w:pPr>
      <w:r>
        <w:rPr>
          <w:b w:val="0"/>
          <w:i w:val="0"/>
          <w:sz w:val="21"/>
        </w:rPr>
        <w:t>(a)  Weight for height</w:t>
      </w:r>
    </w:p>
    <w:p>
      <w:pPr>
        <w:spacing w:after="20" w:before="0"/>
      </w:pPr>
      <w:r>
        <w:rPr>
          <w:b w:val="0"/>
          <w:i w:val="0"/>
          <w:sz w:val="21"/>
        </w:rPr>
        <w:t>(b)  MUAC</w:t>
      </w:r>
    </w:p>
    <w:p>
      <w:pPr>
        <w:spacing w:after="20" w:before="0"/>
      </w:pPr>
      <w:r>
        <w:rPr>
          <w:b w:val="0"/>
          <w:i w:val="0"/>
          <w:sz w:val="21"/>
        </w:rPr>
        <w:t>(c)  Skin fold thicknesses</w:t>
      </w:r>
    </w:p>
    <w:p>
      <w:pPr>
        <w:spacing w:after="20" w:before="0"/>
      </w:pPr>
      <w:r>
        <w:rPr>
          <w:b w:val="0"/>
          <w:i w:val="0"/>
          <w:sz w:val="21"/>
        </w:rPr>
        <w:t>(d)  Weight for age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At Anganwadi (ICDS) centres, growth is monitored by monthly WEIGHT-FOR-AGE plotted on the growth chart. MUAC and weight-for-height screen for acute malnutrition (SAM/MAM); skin-fold thickness is a research tool.</w:t>
      </w:r>
    </w:p>
    <w:p>
      <w:pPr>
        <w:spacing w:after="20" w:before="0"/>
      </w:pPr>
      <w:r>
        <w:rPr>
          <w:b/>
        </w:rPr>
        <w:t xml:space="preserve">🔍 Key Clues: </w:t>
      </w:r>
      <w:r>
        <w:t>Anganwadi growth chart = weight-for-age.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Weight-for-height detects wasting (acute malnutrition). | b — MUAC screens for SAM/MAM. | c — Skin-fold thickness measures body fat in research.</w:t>
      </w:r>
    </w:p>
    <w:p>
      <w:pPr>
        <w:spacing w:after="20" w:before="0"/>
      </w:pPr>
      <w:r>
        <w:rPr>
          <w:b/>
          <w:color w:val="B45F06"/>
        </w:rPr>
        <w:t xml:space="preserve">⚠️ Exam Trap: </w:t>
      </w:r>
      <w:r>
        <w:t>Routine growth monitoring = weight-for-age; acute malnutrition screening = MUAC/WHZ.</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Anganwadi growth monitoring = weight-for-age.</w:t>
      </w:r>
    </w:p>
    <w:p>
      <w:pPr>
        <w:spacing w:after="0" w:before="0"/>
      </w:pPr>
      <w:r>
        <w:rPr>
          <w:b/>
          <w:i w:val="0"/>
          <w:sz w:val="21"/>
        </w:rPr>
        <w:t>Positive Marks: 1    Negative Marks: 0.25</w:t>
      </w:r>
    </w:p>
    <w:p>
      <w:pPr>
        <w:spacing w:before="280" w:after="40"/>
      </w:pPr>
      <w:r>
        <w:rPr>
          <w:b/>
        </w:rPr>
        <w:t xml:space="preserve">Question: </w:t>
      </w:r>
      <w:r>
        <w:t>National Institute of Nutrition is situated in: (NUT)</w:t>
      </w:r>
    </w:p>
    <w:p>
      <w:pPr>
        <w:spacing w:after="20" w:before="0"/>
      </w:pPr>
      <w:r>
        <w:rPr>
          <w:b w:val="0"/>
          <w:i w:val="0"/>
          <w:sz w:val="21"/>
        </w:rPr>
        <w:t>(a)  Hyderabad</w:t>
      </w:r>
    </w:p>
    <w:p>
      <w:pPr>
        <w:spacing w:after="20" w:before="0"/>
      </w:pPr>
      <w:r>
        <w:rPr>
          <w:b w:val="0"/>
          <w:i w:val="0"/>
          <w:sz w:val="21"/>
        </w:rPr>
        <w:t>(b)  Bangalore</w:t>
      </w:r>
    </w:p>
    <w:p>
      <w:pPr>
        <w:spacing w:after="20" w:before="0"/>
      </w:pPr>
      <w:r>
        <w:rPr>
          <w:b w:val="0"/>
          <w:i w:val="0"/>
          <w:sz w:val="21"/>
        </w:rPr>
        <w:t>(c)  New Delhi</w:t>
      </w:r>
    </w:p>
    <w:p>
      <w:pPr>
        <w:spacing w:after="20" w:before="0"/>
      </w:pPr>
      <w:r>
        <w:rPr>
          <w:b w:val="0"/>
          <w:i w:val="0"/>
          <w:sz w:val="21"/>
        </w:rPr>
        <w:t>(d)  Chandigarh</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National Institute of Nutrition (NIN) is located in HYDERABAD — India’s premier research institute on nutrition, under the ICMR. (PGIMER is in Chandigarh; NIMHANS in Bangalore.)</w:t>
      </w:r>
    </w:p>
    <w:p>
      <w:pPr>
        <w:spacing w:after="20" w:before="0"/>
      </w:pPr>
      <w:r>
        <w:rPr>
          <w:b/>
        </w:rPr>
        <w:t xml:space="preserve">🔍 Key Clues: </w:t>
      </w:r>
      <w:r>
        <w:t>'NIN = Hyderabad' (nutrition research, ICMR).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NIMHANS is in Bangalore. | c — New Delhi hosts AIIMS/ICMR HQ. | d — Chandigarh hosts PGIMER.</w:t>
      </w:r>
    </w:p>
    <w:p>
      <w:pPr>
        <w:spacing w:after="20" w:before="0"/>
      </w:pPr>
      <w:r>
        <w:rPr>
          <w:b/>
          <w:color w:val="B45F06"/>
        </w:rPr>
        <w:t xml:space="preserve">⚠️ Exam Trap: </w:t>
      </w:r>
      <w:r>
        <w:t>Institutes: NIN-Hyderabad, NIMHANS-Bangalore, PGIMER-Chandigarh.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National Institute of Nutrition (NIN) → Hyderabad.</w:t>
      </w:r>
    </w:p>
    <w:p>
      <w:pPr>
        <w:spacing w:after="0" w:before="0"/>
      </w:pPr>
      <w:r>
        <w:rPr>
          <w:b/>
          <w:i w:val="0"/>
          <w:sz w:val="21"/>
        </w:rPr>
        <w:t>Positive Marks: 1    Negative Marks: 0.25</w:t>
      </w:r>
    </w:p>
    <w:p>
      <w:pPr>
        <w:spacing w:before="280" w:after="40"/>
      </w:pPr>
      <w:r>
        <w:rPr>
          <w:b/>
        </w:rPr>
        <w:t xml:space="preserve">Question: </w:t>
      </w:r>
      <w:r>
        <w:t>Vitamin D deficiency in children results in: (NUT)</w:t>
      </w:r>
    </w:p>
    <w:p>
      <w:pPr>
        <w:spacing w:after="20" w:before="0"/>
      </w:pPr>
      <w:r>
        <w:rPr>
          <w:b w:val="0"/>
          <w:i w:val="0"/>
          <w:sz w:val="21"/>
        </w:rPr>
        <w:t>(a)  Scurvy</w:t>
      </w:r>
    </w:p>
    <w:p>
      <w:pPr>
        <w:spacing w:after="20" w:before="0"/>
      </w:pPr>
      <w:r>
        <w:rPr>
          <w:b w:val="0"/>
          <w:i w:val="0"/>
          <w:sz w:val="21"/>
        </w:rPr>
        <w:t>(b)  Night blindness</w:t>
      </w:r>
    </w:p>
    <w:p>
      <w:pPr>
        <w:spacing w:after="20" w:before="0"/>
      </w:pPr>
      <w:r>
        <w:rPr>
          <w:b w:val="0"/>
          <w:i w:val="0"/>
          <w:sz w:val="21"/>
        </w:rPr>
        <w:t>(c)  Rickets</w:t>
      </w:r>
    </w:p>
    <w:p>
      <w:pPr>
        <w:spacing w:after="20" w:before="0"/>
      </w:pPr>
      <w:r>
        <w:rPr>
          <w:b w:val="0"/>
          <w:i w:val="0"/>
          <w:sz w:val="21"/>
        </w:rPr>
        <w:t>(d)  Beri Beri</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Vitamin D deficiency in children causes RICKETS — defective bone mineralisation with bowed legs, widened wrists, craniotabes and rachitic rosary. Scurvy = vitamin C; night blindness = vitamin A; beriberi = vitamin B1 (thiamine).</w:t>
      </w:r>
    </w:p>
    <w:p>
      <w:pPr>
        <w:spacing w:after="20" w:before="0"/>
      </w:pPr>
      <w:r>
        <w:rPr>
          <w:b/>
        </w:rPr>
        <w:t xml:space="preserve">🔍 Key Clues: </w:t>
      </w:r>
      <w:r>
        <w:t>'Vitamin D = rickets; C = scurvy; A = night blindness; B1 = beriberi'.</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Scurvy = vitamin C deficiency. | b — Night blindness = vitamin A deficiency. | d — Beri-beri = thiamine (B1) deficiency.</w:t>
      </w:r>
    </w:p>
    <w:p>
      <w:pPr>
        <w:spacing w:after="20" w:before="0"/>
      </w:pPr>
      <w:r>
        <w:rPr>
          <w:b/>
          <w:color w:val="B45F06"/>
        </w:rPr>
        <w:t xml:space="preserve">⚠️ Exam Trap: </w:t>
      </w:r>
      <w:r>
        <w:t>Vitamin-D-deficiency quiz: children = rickets, adults = osteomalacia.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Rickets (children) / osteomalacia (adults) = Vitamin D deficiency.</w:t>
      </w:r>
    </w:p>
    <w:p>
      <w:pPr>
        <w:spacing w:after="0" w:before="0"/>
      </w:pPr>
      <w:r>
        <w:rPr>
          <w:b/>
          <w:i w:val="0"/>
          <w:sz w:val="21"/>
        </w:rPr>
        <w:t>Positive Marks: 1    Negative Marks: 0.25</w:t>
      </w:r>
    </w:p>
    <w:p>
      <w:pPr>
        <w:spacing w:before="280" w:after="40"/>
      </w:pPr>
      <w:r>
        <w:rPr>
          <w:b/>
        </w:rPr>
        <w:t xml:space="preserve">Question: </w:t>
      </w:r>
      <w:r>
        <w:t>Which of the following disease is caused by the rat flea? (CHN)</w:t>
      </w:r>
    </w:p>
    <w:p>
      <w:pPr>
        <w:spacing w:after="20" w:before="0"/>
      </w:pPr>
      <w:r>
        <w:rPr>
          <w:b w:val="0"/>
          <w:i w:val="0"/>
          <w:sz w:val="21"/>
        </w:rPr>
        <w:t>(a)  Endemic typhus</w:t>
      </w:r>
    </w:p>
    <w:p>
      <w:pPr>
        <w:spacing w:after="20" w:before="0"/>
      </w:pPr>
      <w:r>
        <w:rPr>
          <w:b w:val="0"/>
          <w:i w:val="0"/>
          <w:sz w:val="21"/>
        </w:rPr>
        <w:t>(b)  Tick typhus</w:t>
      </w:r>
    </w:p>
    <w:p>
      <w:pPr>
        <w:spacing w:after="20" w:before="0"/>
      </w:pPr>
      <w:r>
        <w:rPr>
          <w:b w:val="0"/>
          <w:i w:val="0"/>
          <w:sz w:val="21"/>
        </w:rPr>
        <w:t>(c)  Sleeping sickness</w:t>
      </w:r>
    </w:p>
    <w:p>
      <w:pPr>
        <w:spacing w:after="20" w:before="0"/>
      </w:pPr>
      <w:r>
        <w:rPr>
          <w:b w:val="0"/>
          <w:i w:val="0"/>
          <w:sz w:val="21"/>
        </w:rPr>
        <w:t>(d)  Typhoid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ENDEMIC (murine) typhus — Rickettsia typhi — is transmitted by the rat FLEA (Xenopsylla cheopis). Tick typhus is spread by ticks; sleeping sickness (African trypanosomiasis) by the tsetse fly; typhoid is faeco-oral (Salmonella).</w:t>
      </w:r>
    </w:p>
    <w:p>
      <w:pPr>
        <w:spacing w:after="20" w:before="0"/>
      </w:pPr>
      <w:r>
        <w:rPr>
          <w:b/>
        </w:rPr>
        <w:t xml:space="preserve">🔍 Key Clues: </w:t>
      </w:r>
      <w:r>
        <w:t>'Rat flea = endemic/murine typhus'.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Tick typhus is spread by ticks. | c — Sleeping sickness is spread by the tsetse fly. | d — Typhoid is faeco-oral.</w:t>
      </w:r>
    </w:p>
    <w:p>
      <w:pPr>
        <w:spacing w:after="20" w:before="0"/>
      </w:pPr>
      <w:r>
        <w:rPr>
          <w:b/>
          <w:color w:val="B45F06"/>
        </w:rPr>
        <w:t xml:space="preserve">⚠️ Exam Trap: </w:t>
      </w:r>
      <w:r>
        <w:t>Typhus is the flea/louse disease; typhoid is the food/water disease — easy to confuse by name.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Endemic (murine) typhus = rat flea; epidemic typhus = body louse.</w:t>
      </w:r>
    </w:p>
    <w:p>
      <w:pPr>
        <w:spacing w:after="0" w:before="0"/>
      </w:pPr>
      <w:r>
        <w:rPr>
          <w:b/>
          <w:i w:val="0"/>
          <w:sz w:val="21"/>
        </w:rPr>
        <w:t>Positive Marks: 1    Negative Marks: 0.25</w:t>
      </w:r>
    </w:p>
    <w:p>
      <w:pPr>
        <w:spacing w:before="280" w:after="40"/>
      </w:pPr>
      <w:r>
        <w:rPr>
          <w:b/>
        </w:rPr>
        <w:t xml:space="preserve">Question: </w:t>
      </w:r>
      <w:r>
        <w:t>Which of the following postpartum drugs is safe for breastfeeding mothers? (OBG)</w:t>
      </w:r>
    </w:p>
    <w:p>
      <w:pPr>
        <w:spacing w:after="20" w:before="0"/>
      </w:pPr>
      <w:r>
        <w:rPr>
          <w:b w:val="0"/>
          <w:i w:val="0"/>
          <w:sz w:val="21"/>
        </w:rPr>
        <w:t>(a)  Lithium</w:t>
      </w:r>
    </w:p>
    <w:p>
      <w:pPr>
        <w:spacing w:after="20" w:before="0"/>
      </w:pPr>
      <w:r>
        <w:rPr>
          <w:b w:val="0"/>
          <w:i w:val="0"/>
          <w:sz w:val="21"/>
        </w:rPr>
        <w:t>(b)  Captopril</w:t>
      </w:r>
    </w:p>
    <w:p>
      <w:pPr>
        <w:spacing w:after="20" w:before="0"/>
      </w:pPr>
      <w:r>
        <w:rPr>
          <w:b w:val="0"/>
          <w:i w:val="0"/>
          <w:sz w:val="21"/>
        </w:rPr>
        <w:t>(c)  Enalapril</w:t>
      </w:r>
    </w:p>
    <w:p>
      <w:pPr>
        <w:spacing w:after="20" w:before="0"/>
      </w:pPr>
      <w:r>
        <w:rPr>
          <w:b w:val="0"/>
          <w:i w:val="0"/>
          <w:sz w:val="21"/>
        </w:rPr>
        <w:t>(d)  Hydrochlorothiazide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Among the options, HYDROCHLOROTHIAZIDE (thiazide diuretic) is considered relatively SAFE in breastfeeding — small amounts pass into milk without harming the infant. LITHIUM is cautioned (significant transfer, toxicity risk), and the ACE inhibitors captopril/enalapril are avoided in early lactation (captopril is sometimes allowed later, but the paper keys the thiazide as safe).</w:t>
      </w:r>
    </w:p>
    <w:p>
      <w:pPr>
        <w:spacing w:after="20" w:before="0"/>
      </w:pPr>
      <w:r>
        <w:rPr>
          <w:b/>
        </w:rPr>
        <w:t xml:space="preserve">🔍 Key Clues: </w:t>
      </w:r>
      <w:r>
        <w:t>Breastfeeding-safe antihypertensive = HCTZ (and nifedipine, labetalol); avoid lithium/ACE-i early 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Lithium transfers into milk with toxicity risk. | b — Captopril is generally avoided in early lactation. | c — Enalapril is avoided in early lactation.</w:t>
      </w:r>
    </w:p>
    <w:p>
      <w:pPr>
        <w:spacing w:after="20" w:before="0"/>
      </w:pPr>
      <w:r>
        <w:rPr>
          <w:b/>
          <w:color w:val="B45F06"/>
        </w:rPr>
        <w:t xml:space="preserve">⚠️ Exam Trap: </w:t>
      </w:r>
      <w:r>
        <w:t>Breastfeeding-safe BP drugs: nifedipine, labetalol, methyldopa, HCTZ; avoid ACE-i early and lithium.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Postpartum/lactation antihypertensives: HCTZ, nifedipine, labetalol — safer choices.</w:t>
      </w:r>
    </w:p>
    <w:p>
      <w:pPr>
        <w:spacing w:after="0" w:before="0"/>
      </w:pPr>
      <w:r>
        <w:rPr>
          <w:b/>
          <w:i w:val="0"/>
          <w:sz w:val="21"/>
        </w:rPr>
        <w:t>Positive Marks: 1    Negative Marks: 0.25</w:t>
      </w:r>
    </w:p>
    <w:p>
      <w:pPr>
        <w:spacing w:before="280" w:after="40"/>
      </w:pPr>
      <w:r>
        <w:rPr>
          <w:b/>
        </w:rPr>
        <w:t xml:space="preserve">Question: </w:t>
      </w:r>
      <w:r>
        <w:t>Primary prevention for CA Cervix can be done by:</w:t>
      </w:r>
    </w:p>
    <w:p>
      <w:pPr>
        <w:spacing w:after="20" w:before="0"/>
      </w:pPr>
      <w:r>
        <w:rPr>
          <w:b w:val="0"/>
          <w:i w:val="0"/>
          <w:sz w:val="21"/>
        </w:rPr>
        <w:t>(a)  HPV vaccine</w:t>
      </w:r>
    </w:p>
    <w:p>
      <w:pPr>
        <w:spacing w:after="20" w:before="0"/>
      </w:pPr>
      <w:r>
        <w:rPr>
          <w:b w:val="0"/>
          <w:i w:val="0"/>
          <w:sz w:val="21"/>
        </w:rPr>
        <w:t>(b)  Pap smear</w:t>
      </w:r>
    </w:p>
    <w:p>
      <w:pPr>
        <w:spacing w:after="20" w:before="0"/>
      </w:pPr>
      <w:r>
        <w:rPr>
          <w:b w:val="0"/>
          <w:i w:val="0"/>
          <w:sz w:val="21"/>
        </w:rPr>
        <w:t>(c)  Drug therapy</w:t>
      </w:r>
    </w:p>
    <w:p>
      <w:pPr>
        <w:spacing w:after="20" w:before="0"/>
      </w:pPr>
      <w:r>
        <w:rPr>
          <w:b w:val="0"/>
          <w:i w:val="0"/>
          <w:sz w:val="21"/>
        </w:rPr>
        <w:t>(d)  Preventing complications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PRIMARY prevention of cervical cancer = the HPV VACCINE, which prevents the causative infection before disease begins. Pap smear (screening) is secondary prevention; drug therapy and complication prevention are tertiary.</w:t>
      </w:r>
    </w:p>
    <w:p>
      <w:pPr>
        <w:spacing w:after="20" w:before="0"/>
      </w:pPr>
      <w:r>
        <w:rPr>
          <w:b/>
        </w:rPr>
        <w:t xml:space="preserve">🔍 Key Clues: </w:t>
      </w:r>
      <w:r>
        <w:t>'HPV vaccine = primary prevention (prevents infection)'.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Pap smear is screening = secondary prevention. | c — Drug therapy treats established disease = tertiary. | d — Preventing complications = tertiary prevention.</w:t>
      </w:r>
    </w:p>
    <w:p>
      <w:pPr>
        <w:spacing w:after="20" w:before="0"/>
      </w:pPr>
      <w:r>
        <w:rPr>
          <w:b/>
          <w:color w:val="B45F06"/>
        </w:rPr>
        <w:t xml:space="preserve">⚠️ Exam Trap: </w:t>
      </w:r>
      <w:r>
        <w:t>Vaccination is always primary prevention; screening is secondary.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Cervical cancer: HPV vaccine = primary; Pap/VIA = secondary; treatment/rehab = tertiary.</w:t>
      </w:r>
    </w:p>
    <w:p>
      <w:pPr>
        <w:spacing w:after="0" w:before="0"/>
      </w:pPr>
      <w:r>
        <w:rPr>
          <w:b/>
          <w:i w:val="0"/>
          <w:sz w:val="21"/>
        </w:rPr>
        <w:t>Positive Marks: 1    Negative Marks: 0.25</w:t>
      </w:r>
    </w:p>
    <w:p>
      <w:pPr>
        <w:spacing w:before="280" w:after="40"/>
      </w:pPr>
      <w:r>
        <w:rPr>
          <w:b/>
        </w:rPr>
        <w:t xml:space="preserve">Question: </w:t>
      </w:r>
      <w:r>
        <w:t>Which bank plays a primary role in managing and governing the financial system of the country? (GK)</w:t>
      </w:r>
    </w:p>
    <w:p>
      <w:pPr>
        <w:spacing w:after="20" w:before="0"/>
      </w:pPr>
      <w:r>
        <w:rPr>
          <w:b w:val="0"/>
          <w:i w:val="0"/>
          <w:sz w:val="21"/>
        </w:rPr>
        <w:t>(a)  HDFC</w:t>
      </w:r>
    </w:p>
    <w:p>
      <w:pPr>
        <w:spacing w:after="20" w:before="0"/>
      </w:pPr>
      <w:r>
        <w:rPr>
          <w:b w:val="0"/>
          <w:i w:val="0"/>
          <w:sz w:val="21"/>
        </w:rPr>
        <w:t>(b)  RBI</w:t>
      </w:r>
    </w:p>
    <w:p>
      <w:pPr>
        <w:spacing w:after="20" w:before="0"/>
      </w:pPr>
      <w:r>
        <w:rPr>
          <w:b w:val="0"/>
          <w:i w:val="0"/>
          <w:sz w:val="21"/>
        </w:rPr>
        <w:t>(c)  SBI</w:t>
      </w:r>
    </w:p>
    <w:p>
      <w:pPr>
        <w:spacing w:after="20" w:before="0"/>
      </w:pPr>
      <w:r>
        <w:rPr>
          <w:b w:val="0"/>
          <w:i w:val="0"/>
          <w:sz w:val="21"/>
        </w:rPr>
        <w:t>(d)  PNB</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Concept &amp; Logic: </w:t>
      </w:r>
      <w:r>
        <w:t>The RESERVE BANK OF INDIA (RBI) is India’s central bank — it regulates the monetary policy, issues currency, manages foreign exchange and supervises the entire banking/financial system. HDFC, SBI and PNB are commercial banks regulated BY the RBI.</w:t>
      </w:r>
    </w:p>
    <w:p>
      <w:pPr>
        <w:spacing w:after="20" w:before="0"/>
      </w:pPr>
      <w:r>
        <w:rPr>
          <w:b/>
        </w:rPr>
        <w:t xml:space="preserve">🔍 Key Clues: </w:t>
      </w:r>
      <w:r>
        <w:t>'Central bank = RBI (regulates the financial system)'.</w:t>
      </w:r>
    </w:p>
    <w:p>
      <w:pPr>
        <w:spacing w:after="20" w:before="0"/>
      </w:pPr>
      <w:r>
        <w:rPr>
          <w:b/>
        </w:rPr>
        <w:t xml:space="preserve">❌ Why Not Other Options: </w:t>
      </w:r>
      <w:r>
        <w:t>a — HDFC is a private commercial bank. | c — SBI is a public-sector commercial bank. | d — PNB is a public-sector commercial bank.</w:t>
      </w:r>
    </w:p>
    <w:p>
      <w:pPr>
        <w:spacing w:after="20" w:before="0"/>
      </w:pPr>
      <w:r>
        <w:rPr>
          <w:b/>
          <w:color w:val="B45F06"/>
        </w:rPr>
        <w:t xml:space="preserve">⚠️ Exam Trap: </w:t>
      </w:r>
      <w:r>
        <w:t>Central bank (RBI) vs commercial banks (SBI, HDFC, PNB) — the RBI governs, the others operate.</w:t>
      </w:r>
    </w:p>
    <w:p>
      <w:pPr>
        <w:spacing w:after="20" w:before="0"/>
      </w:pPr>
      <w:r>
        <w:rPr>
          <w:b/>
          <w:color w:val="1F3A5F"/>
        </w:rPr>
        <w:t xml:space="preserve">💎 PNC Pearl: </w:t>
      </w:r>
      <w:r>
        <w:t>RBI = central bank of India (monetary policy, currency, regulation).</w:t>
      </w:r>
    </w:p>
    <w:p>
      <w:pPr>
        <w:spacing w:after="0" w:before="0"/>
      </w:pPr>
      <w:r>
        <w:rPr>
          <w:b/>
          <w:i w:val="0"/>
          <w:sz w:val="21"/>
        </w:rPr>
        <w:t>Positive Marks: 1    Negative Marks: 0.25</w:t>
      </w:r>
    </w:p>
    <w:p>
      <w:pPr>
        <w:spacing w:before="280" w:after="40"/>
      </w:pPr>
      <w:r>
        <w:rPr>
          <w:b/>
        </w:rPr>
        <w:t xml:space="preserve">Question: </w:t>
      </w:r>
      <w:r>
        <w:t>Complete the given sequence. (Arithmetic) 1 1 2 3 5 8 13……</w:t>
      </w:r>
    </w:p>
    <w:p>
      <w:pPr>
        <w:spacing w:after="20" w:before="0"/>
      </w:pPr>
      <w:r>
        <w:rPr>
          <w:b w:val="0"/>
          <w:i w:val="0"/>
          <w:sz w:val="21"/>
        </w:rPr>
        <w:t>(a)  20</w:t>
      </w:r>
    </w:p>
    <w:p>
      <w:pPr>
        <w:spacing w:after="20" w:before="0"/>
      </w:pPr>
      <w:r>
        <w:rPr>
          <w:b w:val="0"/>
          <w:i w:val="0"/>
          <w:sz w:val="21"/>
        </w:rPr>
        <w:t>(b)  21</w:t>
      </w:r>
    </w:p>
    <w:p>
      <w:pPr>
        <w:spacing w:after="20" w:before="0"/>
      </w:pPr>
      <w:r>
        <w:rPr>
          <w:b w:val="0"/>
          <w:i w:val="0"/>
          <w:sz w:val="21"/>
        </w:rPr>
        <w:t>(c)  15</w:t>
      </w:r>
    </w:p>
    <w:p>
      <w:pPr>
        <w:spacing w:after="20" w:before="0"/>
      </w:pPr>
      <w:r>
        <w:rPr>
          <w:b w:val="0"/>
          <w:i w:val="0"/>
          <w:sz w:val="21"/>
        </w:rPr>
        <w:t>(d)  23</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Concept &amp; Logic: </w:t>
      </w:r>
      <w:r>
        <w:t>This is the FIBONACCI sequence — each term is the sum of the previous two: 1, 1, 2, 3, 5, 8, 13 → next = 8 + 13 = 21. The pattern repeats from the start: 13 + 21 = 34, and so on.</w:t>
      </w:r>
    </w:p>
    <w:p>
      <w:pPr>
        <w:spacing w:after="20" w:before="0"/>
      </w:pPr>
      <w:r>
        <w:rPr>
          <w:b/>
        </w:rPr>
        <w:t xml:space="preserve">🔍 Key Clues: </w:t>
      </w:r>
      <w:r>
        <w:t>'Each term = sum of previous two → 8 + 13 = 21'.</w:t>
      </w:r>
    </w:p>
    <w:p>
      <w:pPr>
        <w:spacing w:after="20" w:before="0"/>
      </w:pPr>
      <w:r>
        <w:rPr>
          <w:b/>
        </w:rPr>
        <w:t xml:space="preserve">❌ Why Not Other Options: </w:t>
      </w:r>
      <w:r>
        <w:t>a — 20 is 13 + 7 — no such pattern. | c — 15 is 13 + 2 — wrong rule. | d — 23 is 13 + 10 — wrong rule.</w:t>
      </w:r>
    </w:p>
    <w:p>
      <w:pPr>
        <w:spacing w:after="20" w:before="0"/>
      </w:pPr>
      <w:r>
        <w:rPr>
          <w:b/>
          <w:color w:val="B45F06"/>
        </w:rPr>
        <w:t xml:space="preserve">⚠️ Exam Trap: </w:t>
      </w:r>
      <w:r>
        <w:t>Fibonacci is 'sum of the previous two' — the most common sequence trap; check the first terms to confirm.</w:t>
      </w:r>
    </w:p>
    <w:p>
      <w:pPr>
        <w:spacing w:after="20" w:before="0"/>
      </w:pPr>
      <w:r>
        <w:rPr>
          <w:b/>
          <w:color w:val="1F3A5F"/>
        </w:rPr>
        <w:t xml:space="preserve">💎 PNC Pearl: </w:t>
      </w:r>
      <w:r>
        <w:t>Fibonacci: each term = sum of previous two (1, 1, 2, 3, 5, 8, 13, 21…).</w:t>
      </w:r>
    </w:p>
    <w:p>
      <w:pPr>
        <w:spacing w:after="0" w:before="0"/>
      </w:pPr>
      <w:r>
        <w:rPr>
          <w:b/>
          <w:i w:val="0"/>
          <w:sz w:val="21"/>
        </w:rPr>
        <w:t>Positive Marks: 1    Negative Marks: 0.25</w:t>
      </w:r>
    </w:p>
    <w:p>
      <w:pPr>
        <w:spacing w:before="280" w:after="40"/>
      </w:pPr>
      <w:r>
        <w:rPr>
          <w:b/>
        </w:rPr>
        <w:t xml:space="preserve">Question: </w:t>
      </w:r>
      <w:r>
        <w:t>The following are the rivers in the state of Punjab, except: (GK)</w:t>
      </w:r>
    </w:p>
    <w:p>
      <w:pPr>
        <w:spacing w:after="20" w:before="0"/>
      </w:pPr>
      <w:r>
        <w:rPr>
          <w:b w:val="0"/>
          <w:i w:val="0"/>
          <w:sz w:val="21"/>
        </w:rPr>
        <w:t>(a)  Beas</w:t>
      </w:r>
    </w:p>
    <w:p>
      <w:pPr>
        <w:spacing w:after="20" w:before="0"/>
      </w:pPr>
      <w:r>
        <w:rPr>
          <w:b w:val="0"/>
          <w:i w:val="0"/>
          <w:sz w:val="21"/>
        </w:rPr>
        <w:t>(b)  Yamuna</w:t>
      </w:r>
    </w:p>
    <w:p>
      <w:pPr>
        <w:spacing w:after="20" w:before="0"/>
      </w:pPr>
      <w:r>
        <w:rPr>
          <w:b w:val="0"/>
          <w:i w:val="0"/>
          <w:sz w:val="21"/>
        </w:rPr>
        <w:t>(c)  Jhelum</w:t>
      </w:r>
    </w:p>
    <w:p>
      <w:pPr>
        <w:spacing w:after="20" w:before="0"/>
      </w:pPr>
      <w:r>
        <w:rPr>
          <w:b w:val="0"/>
          <w:i w:val="0"/>
          <w:sz w:val="21"/>
        </w:rPr>
        <w:t>(d)  Ganga</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Concept &amp; Logic: </w:t>
      </w:r>
      <w:r>
        <w:t>The five rivers of Punjab are the Jhelum, Chenab, Ravi, Beas and Sutlej (all Indus tributaries). The GANGA flows through the Gangetic plains (Uttarakhand, UP, Bihar, Bengal) — it is not a Punjab river, making it the exception per the paper key.</w:t>
      </w:r>
    </w:p>
    <w:p>
      <w:pPr>
        <w:spacing w:after="20" w:before="0"/>
      </w:pPr>
      <w:r>
        <w:rPr>
          <w:b/>
        </w:rPr>
        <w:t xml:space="preserve">🔍 Key Clues: </w:t>
      </w:r>
      <w:r>
        <w:t>'Punjab = land of five rivers: Jhelum, Chenab, Ravi, Beas, Sutlej — Ganga is not one'.</w:t>
      </w:r>
    </w:p>
    <w:p>
      <w:pPr>
        <w:spacing w:after="20" w:before="0"/>
      </w:pPr>
      <w:r>
        <w:rPr>
          <w:b/>
        </w:rPr>
        <w:t xml:space="preserve">❌ Why Not Other Options: </w:t>
      </w:r>
      <w:r>
        <w:t>a — Beas flows through Punjab. | b — Yamuna is not a Punjab river either, but the paper keys Ganga. | c — Jhelum is one of the five Punjab rivers.</w:t>
      </w:r>
    </w:p>
    <w:p>
      <w:pPr>
        <w:spacing w:after="20" w:before="0"/>
      </w:pPr>
      <w:r>
        <w:rPr>
          <w:b/>
          <w:color w:val="B45F06"/>
        </w:rPr>
        <w:t xml:space="preserve">⚠️ Exam Trap: </w:t>
      </w:r>
      <w:r>
        <w:t>'Panj = five; ab = water' — the five rivers are Indus tributaries, not Ganga tributaries.</w:t>
      </w:r>
    </w:p>
    <w:p>
      <w:pPr>
        <w:spacing w:after="20" w:before="0"/>
      </w:pPr>
      <w:r>
        <w:rPr>
          <w:b/>
          <w:color w:val="1F3A5F"/>
        </w:rPr>
        <w:t xml:space="preserve">💎 PNC Pearl: </w:t>
      </w:r>
      <w:r>
        <w:t>Five rivers of Punjab: Jhelum, Chenab, Ravi, Beas, Sutlej.</w:t>
      </w:r>
    </w:p>
    <w:p>
      <w:pPr>
        <w:spacing w:after="0" w:before="0"/>
      </w:pPr>
      <w:r>
        <w:rPr>
          <w:b/>
          <w:i w:val="0"/>
          <w:sz w:val="21"/>
        </w:rPr>
        <w:t>Positive Marks: 1    Negative Marks: 0.25</w:t>
      </w:r>
    </w:p>
    <w:p>
      <w:pPr>
        <w:spacing w:before="280" w:after="40"/>
      </w:pPr>
      <w:r>
        <w:rPr>
          <w:b/>
        </w:rPr>
        <w:t xml:space="preserve">Question: </w:t>
      </w:r>
      <w:r>
        <w:t>Which of the following image is present behind the 2000 rupees note? (GK)</w:t>
      </w:r>
    </w:p>
    <w:p>
      <w:pPr>
        <w:spacing w:after="20" w:before="0"/>
      </w:pPr>
      <w:r>
        <w:rPr>
          <w:b w:val="0"/>
          <w:i w:val="0"/>
          <w:sz w:val="21"/>
        </w:rPr>
        <w:t>(a)  Red fort</w:t>
      </w:r>
    </w:p>
    <w:p>
      <w:pPr>
        <w:spacing w:after="20" w:before="0"/>
      </w:pPr>
      <w:r>
        <w:rPr>
          <w:b w:val="0"/>
          <w:i w:val="0"/>
          <w:sz w:val="21"/>
        </w:rPr>
        <w:t>(b)  Hampi</w:t>
      </w:r>
    </w:p>
    <w:p>
      <w:pPr>
        <w:spacing w:after="20" w:before="0"/>
      </w:pPr>
      <w:r>
        <w:rPr>
          <w:b w:val="0"/>
          <w:i w:val="0"/>
          <w:sz w:val="21"/>
        </w:rPr>
        <w:t>(c)  Ellora Caves</w:t>
      </w:r>
    </w:p>
    <w:p>
      <w:pPr>
        <w:spacing w:after="20" w:before="0"/>
      </w:pPr>
      <w:r>
        <w:rPr>
          <w:b w:val="0"/>
          <w:i w:val="0"/>
          <w:sz w:val="21"/>
        </w:rPr>
        <w:t>(d)  Mangalyaan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Concept &amp; Logic: </w:t>
      </w:r>
      <w:r>
        <w:t>The ₹2000 banknote (issued in 2016, withdrawn in 2023) displayed the MANGALYAAN (Mars Orbiter Mission) spacecraft on its reverse side, celebrating India’s space achievement. The obverse carried the Mahatma Gandhi motif.</w:t>
      </w:r>
    </w:p>
    <w:p>
      <w:pPr>
        <w:spacing w:after="20" w:before="0"/>
      </w:pPr>
      <w:r>
        <w:rPr>
          <w:b/>
        </w:rPr>
        <w:t xml:space="preserve">🔍 Key Clues: </w:t>
      </w:r>
      <w:r>
        <w:t>'₹2000 note back = Mangalyaan (Mars Orbiter Mission)'.</w:t>
      </w:r>
    </w:p>
    <w:p>
      <w:pPr>
        <w:spacing w:after="20" w:before="0"/>
      </w:pPr>
      <w:r>
        <w:rPr>
          <w:b/>
        </w:rPr>
        <w:t xml:space="preserve">❌ Why Not Other Options: </w:t>
      </w:r>
      <w:r>
        <w:t>a — The Red Fort appears on the ₹500 note. | b — Hampi appears on the ₹50 note. | c — Ellora Caves appear on the ₹20 note.</w:t>
      </w:r>
    </w:p>
    <w:p>
      <w:pPr>
        <w:spacing w:after="20" w:before="0"/>
      </w:pPr>
      <w:r>
        <w:rPr>
          <w:b/>
          <w:color w:val="B45F06"/>
        </w:rPr>
        <w:t xml:space="preserve">⚠️ Exam Trap: </w:t>
      </w:r>
      <w:r>
        <w:t>Note-to-image pairs: 2000 = Mangalyaan, 500 = Red Fort, 200 = Sanchi Stupa, 100 = Rani ki Vav.</w:t>
      </w:r>
    </w:p>
    <w:p>
      <w:pPr>
        <w:spacing w:after="20" w:before="0"/>
      </w:pPr>
      <w:r>
        <w:rPr>
          <w:b/>
          <w:color w:val="1F3A5F"/>
        </w:rPr>
        <w:t xml:space="preserve">💎 PNC Pearl: </w:t>
      </w:r>
      <w:r>
        <w:t>₹2000 note: Mangalyaan on the reverse.</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