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JSSK was introduced in the year: (GK)</w:t>
      </w:r>
    </w:p>
    <w:p>
      <w:pPr>
        <w:spacing w:after="20" w:before="0"/>
      </w:pPr>
      <w:r>
        <w:rPr>
          <w:b w:val="0"/>
          <w:i w:val="0"/>
          <w:sz w:val="21"/>
        </w:rPr>
        <w:t>(a)  1995</w:t>
      </w:r>
    </w:p>
    <w:p>
      <w:pPr>
        <w:spacing w:after="20" w:before="0"/>
      </w:pPr>
      <w:r>
        <w:rPr>
          <w:b w:val="0"/>
          <w:i w:val="0"/>
          <w:sz w:val="21"/>
        </w:rPr>
        <w:t>(b)  2000</w:t>
      </w:r>
    </w:p>
    <w:p>
      <w:pPr>
        <w:spacing w:after="20" w:before="0"/>
      </w:pPr>
      <w:r>
        <w:rPr>
          <w:b w:val="0"/>
          <w:i w:val="0"/>
          <w:sz w:val="21"/>
        </w:rPr>
        <w:t>(c)  2011</w:t>
      </w:r>
    </w:p>
    <w:p>
      <w:pPr>
        <w:spacing w:after="20" w:before="0"/>
      </w:pPr>
      <w:r>
        <w:rPr>
          <w:b w:val="0"/>
          <w:i w:val="0"/>
          <w:sz w:val="21"/>
        </w:rPr>
        <w:t>(d)  1980</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Concept &amp; Logic: </w:t>
      </w:r>
      <w:r>
        <w:t>The JANANI SHISHU SURAKSHA KARYAKRAM (JSSK) was launched in JUNE 2011 — guaranteeing FREE delivery, caesarean, drugs, diagnostics, diet and transport for pregnant women and sick newborns in public facilities.</w:t>
      </w:r>
    </w:p>
    <w:p>
      <w:pPr>
        <w:spacing w:after="20" w:before="0"/>
      </w:pPr>
      <w:r>
        <w:rPr>
          <w:b/>
        </w:rPr>
        <w:t xml:space="preserve">🔍 Key Clues: </w:t>
      </w:r>
      <w:r>
        <w:t>'JSSK = 2011 (free delivery + sick newborn care)'.</w:t>
      </w:r>
    </w:p>
    <w:p>
      <w:pPr>
        <w:spacing w:after="20" w:before="0"/>
      </w:pPr>
      <w:r>
        <w:rPr>
          <w:b/>
        </w:rPr>
        <w:t xml:space="preserve">❌ Why Not Other Options: </w:t>
      </w:r>
      <w:r>
        <w:t>a — 1995 — no, that is around RCH era. | b — 2000 — no. | d — 1980 — no.</w:t>
      </w:r>
    </w:p>
    <w:p>
      <w:pPr>
        <w:spacing w:after="20" w:before="0"/>
      </w:pPr>
      <w:r>
        <w:rPr>
          <w:b/>
          <w:color w:val="B45F06"/>
        </w:rPr>
        <w:t xml:space="preserve">⚠️ Exam Trap: </w:t>
      </w:r>
      <w:r>
        <w:t>Maternal-health scheme years: JSY 2005, JSSK 2011, PM Surakshit Matritva Abhiyan 2016.</w:t>
      </w:r>
    </w:p>
    <w:p>
      <w:pPr>
        <w:spacing w:after="20" w:before="0"/>
      </w:pPr>
      <w:r>
        <w:rPr>
          <w:b/>
          <w:color w:val="1F3A5F"/>
        </w:rPr>
        <w:t xml:space="preserve">💎 PNC Pearl: </w:t>
      </w:r>
      <w:r>
        <w:t>JSSK (free maternity/newborn care) launched 2011.</w:t>
      </w:r>
    </w:p>
    <w:p>
      <w:pPr>
        <w:spacing w:after="0" w:before="0"/>
      </w:pPr>
      <w:r>
        <w:rPr>
          <w:b/>
          <w:i w:val="0"/>
          <w:sz w:val="21"/>
        </w:rPr>
        <w:t>Positive Marks: 1    Negative Marks: 0.25</w:t>
      </w:r>
    </w:p>
    <w:p>
      <w:pPr>
        <w:spacing w:before="280" w:after="40"/>
      </w:pPr>
      <w:r>
        <w:rPr>
          <w:b/>
        </w:rPr>
        <w:t xml:space="preserve">Question: </w:t>
      </w:r>
      <w:r>
        <w:t>The difference between systolic and diastolic blood pressure is known as: (FON)</w:t>
      </w:r>
    </w:p>
    <w:p>
      <w:pPr>
        <w:spacing w:after="20" w:before="0"/>
      </w:pPr>
      <w:r>
        <w:rPr>
          <w:b w:val="0"/>
          <w:i w:val="0"/>
          <w:sz w:val="21"/>
        </w:rPr>
        <w:t>(a)  Pulse difference</w:t>
      </w:r>
    </w:p>
    <w:p>
      <w:pPr>
        <w:spacing w:after="20" w:before="0"/>
      </w:pPr>
      <w:r>
        <w:rPr>
          <w:b w:val="0"/>
          <w:i w:val="0"/>
          <w:sz w:val="21"/>
        </w:rPr>
        <w:t>(b)  Cardiac pressure</w:t>
      </w:r>
    </w:p>
    <w:p>
      <w:pPr>
        <w:spacing w:after="20" w:before="0"/>
      </w:pPr>
      <w:r>
        <w:rPr>
          <w:b w:val="0"/>
          <w:i w:val="0"/>
          <w:sz w:val="21"/>
        </w:rPr>
        <w:t>(c)  Systolic pressure</w:t>
      </w:r>
    </w:p>
    <w:p>
      <w:pPr>
        <w:spacing w:after="20" w:before="0"/>
      </w:pPr>
      <w:r>
        <w:rPr>
          <w:b w:val="0"/>
          <w:i w:val="0"/>
          <w:sz w:val="21"/>
        </w:rPr>
        <w:t>(d)  Pulse pressure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PULSE PRESSURE = systolic − diastolic blood pressure (normally ~40 mmHg). It reflects the stroke volume and arterial compliance — wide in aortic regurgitation/atherosclerosis, narrow in shock/cardiac tamponade.</w:t>
      </w:r>
    </w:p>
    <w:p>
      <w:pPr>
        <w:spacing w:after="20" w:before="0"/>
      </w:pPr>
      <w:r>
        <w:rPr>
          <w:b/>
        </w:rPr>
        <w:t xml:space="preserve">🔍 Key Clues: </w:t>
      </w:r>
      <w:r>
        <w:t>'Systolic − diastolic = pulse pressure'.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Pulse difference is a term for a pulse deficit comparison. | b — Cardiac pressure is not a standard term. | c — Systolic pressure is the peak pressure.</w:t>
      </w:r>
    </w:p>
    <w:p>
      <w:pPr>
        <w:spacing w:after="20" w:before="0"/>
      </w:pPr>
      <w:r>
        <w:rPr>
          <w:b/>
          <w:color w:val="B45F06"/>
        </w:rPr>
        <w:t xml:space="preserve">⚠️ Exam Trap: </w:t>
      </w:r>
      <w:r>
        <w:t>Pulse pressure (SP−DP) vs pulse deficit (apical−radial rate) — different concepts, similar names.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Pulse pressure = systolic − diastolic (~40 mmHg normal).</w:t>
      </w:r>
    </w:p>
    <w:p>
      <w:pPr>
        <w:spacing w:after="0" w:before="0"/>
      </w:pPr>
      <w:r>
        <w:rPr>
          <w:b/>
          <w:i w:val="0"/>
          <w:sz w:val="21"/>
        </w:rPr>
        <w:t>Positive Marks: 1    Negative Marks: 0.25</w:t>
      </w:r>
    </w:p>
    <w:p>
      <w:pPr>
        <w:spacing w:before="280" w:after="40"/>
      </w:pPr>
      <w:r>
        <w:rPr>
          <w:b/>
        </w:rPr>
        <w:t xml:space="preserve">Question: </w:t>
      </w:r>
      <w:r>
        <w:t>Identify an example of age-independent anthropometry? (PEDIA)</w:t>
      </w:r>
    </w:p>
    <w:p>
      <w:pPr>
        <w:spacing w:after="20" w:before="0"/>
      </w:pPr>
      <w:r>
        <w:rPr>
          <w:b w:val="0"/>
          <w:i w:val="0"/>
          <w:sz w:val="21"/>
        </w:rPr>
        <w:t>(a)  MUAC</w:t>
      </w:r>
    </w:p>
    <w:p>
      <w:pPr>
        <w:spacing w:after="20" w:before="0"/>
      </w:pPr>
      <w:r>
        <w:rPr>
          <w:b w:val="0"/>
          <w:i w:val="0"/>
          <w:sz w:val="21"/>
        </w:rPr>
        <w:t>(b)  Weight</w:t>
      </w:r>
    </w:p>
    <w:p>
      <w:pPr>
        <w:spacing w:after="20" w:before="0"/>
      </w:pPr>
      <w:r>
        <w:rPr>
          <w:b w:val="0"/>
          <w:i w:val="0"/>
          <w:sz w:val="21"/>
        </w:rPr>
        <w:t>(c)  Head circumference</w:t>
      </w:r>
    </w:p>
    <w:p>
      <w:pPr>
        <w:spacing w:after="20" w:before="0"/>
      </w:pPr>
      <w:r>
        <w:rPr>
          <w:b w:val="0"/>
          <w:i w:val="0"/>
          <w:sz w:val="21"/>
        </w:rPr>
        <w:t>(d)  Chest circumference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MUAC (mid-upper arm circumference) is an AGE-INDEPENDENT anthropometric indicator — it assesses acute malnutrition without needing exact age (cut-offs 11.5/12.5 cm). Weight, head circumference and chest circumference all change with age.</w:t>
      </w:r>
    </w:p>
    <w:p>
      <w:pPr>
        <w:spacing w:after="20" w:before="0"/>
      </w:pPr>
      <w:r>
        <w:rPr>
          <w:b/>
        </w:rPr>
        <w:t xml:space="preserve">🔍 Key Clues: </w:t>
      </w:r>
      <w:r>
        <w:t>'Age-independent = MUAC (plus BMI, weight-for-height)'.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Weight is age-dependent (growth charts). | c — Head circumference is age-dependent (infant growth). | d — Chest circumference is age-dependent.</w:t>
      </w:r>
    </w:p>
    <w:p>
      <w:pPr>
        <w:spacing w:after="20" w:before="0"/>
      </w:pPr>
      <w:r>
        <w:rPr>
          <w:b/>
          <w:color w:val="B45F06"/>
        </w:rPr>
        <w:t xml:space="preserve">⚠️ Exam Trap: </w:t>
      </w:r>
      <w:r>
        <w:t>Age-independent set: MUAC, BMI, weight-for-height; age-dependent: weight, height, head/chest circumference.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MUAC = age-independent anthropometry (SAM/MAM screening).</w:t>
      </w:r>
    </w:p>
    <w:p>
      <w:pPr>
        <w:spacing w:after="0" w:before="0"/>
      </w:pPr>
      <w:r>
        <w:rPr>
          <w:b/>
          <w:i w:val="0"/>
          <w:sz w:val="21"/>
        </w:rPr>
        <w:t>Positive Marks: 1    Negative Marks: 0.25</w:t>
      </w:r>
    </w:p>
    <w:p>
      <w:pPr>
        <w:spacing w:before="280" w:after="40"/>
      </w:pPr>
      <w:r>
        <w:rPr>
          <w:b/>
        </w:rPr>
        <w:t xml:space="preserve">Question: </w:t>
      </w:r>
      <w:r>
        <w:t>Most common area affected in trichotillomania is: (MHN)</w:t>
      </w:r>
    </w:p>
    <w:p>
      <w:pPr>
        <w:spacing w:after="20" w:before="0"/>
      </w:pPr>
      <w:r>
        <w:rPr>
          <w:b w:val="0"/>
          <w:i w:val="0"/>
          <w:sz w:val="21"/>
        </w:rPr>
        <w:t>(a)  Scalp</w:t>
      </w:r>
    </w:p>
    <w:p>
      <w:pPr>
        <w:spacing w:after="20" w:before="0"/>
      </w:pPr>
      <w:r>
        <w:rPr>
          <w:b w:val="0"/>
          <w:i w:val="0"/>
          <w:sz w:val="21"/>
        </w:rPr>
        <w:t>(b)  Face</w:t>
      </w:r>
    </w:p>
    <w:p>
      <w:pPr>
        <w:spacing w:after="20" w:before="0"/>
      </w:pPr>
      <w:r>
        <w:rPr>
          <w:b w:val="0"/>
          <w:i w:val="0"/>
          <w:sz w:val="21"/>
        </w:rPr>
        <w:t>(c)  Arms</w:t>
      </w:r>
    </w:p>
    <w:p>
      <w:pPr>
        <w:spacing w:after="20" w:before="0"/>
      </w:pPr>
      <w:r>
        <w:rPr>
          <w:b w:val="0"/>
          <w:i w:val="0"/>
          <w:sz w:val="21"/>
        </w:rPr>
        <w:t>(d)  Eyelashes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TRICHOTILLOMANIA is the impulse-control disorder of recurrent hair pulling — the SCALP is the most commonly affected area, producing patchy hair loss with irregular borders. Eyelashes, eyebrows and other body hair are less common sites.</w:t>
      </w:r>
    </w:p>
    <w:p>
      <w:pPr>
        <w:spacing w:after="20" w:before="0"/>
      </w:pPr>
      <w:r>
        <w:rPr>
          <w:b/>
        </w:rPr>
        <w:t xml:space="preserve">🔍 Key Clues: </w:t>
      </w:r>
      <w:r>
        <w:t>'Hair pulling = scalp (patchy alopecia)'.</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b — Face is less common than the scalp. | c — Arms are uncommon. | d — Eyelashes are affected but less often than the scalp.</w:t>
      </w:r>
    </w:p>
    <w:p>
      <w:pPr>
        <w:spacing w:after="20" w:before="0"/>
      </w:pPr>
      <w:r>
        <w:rPr>
          <w:b/>
          <w:color w:val="B45F06"/>
        </w:rPr>
        <w:t xml:space="preserve">⚠️ Exam Trap: </w:t>
      </w:r>
      <w:r>
        <w:t>Trichotillomania = hair PULLING (scalp); trichophagia = eating the hair (bezoar risk).</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Trichotillomania: scalp is the most common hair-pulling site.</w:t>
      </w:r>
    </w:p>
    <w:p>
      <w:pPr>
        <w:spacing w:after="0" w:before="0"/>
      </w:pPr>
      <w:r>
        <w:rPr>
          <w:b/>
          <w:i w:val="0"/>
          <w:sz w:val="21"/>
        </w:rPr>
        <w:t>Positive Marks: 1    Negative Marks: 0.25</w:t>
      </w:r>
    </w:p>
    <w:p>
      <w:pPr>
        <w:spacing w:before="280" w:after="40"/>
      </w:pPr>
      <w:r>
        <w:rPr>
          <w:b/>
        </w:rPr>
        <w:t xml:space="preserve">Question: </w:t>
      </w:r>
      <w:r>
        <w:t>Cleft lip baby diet post-surgery must include: (PEDIA)</w:t>
      </w:r>
    </w:p>
    <w:p>
      <w:pPr>
        <w:spacing w:after="20" w:before="0"/>
      </w:pPr>
      <w:r>
        <w:rPr>
          <w:b w:val="0"/>
          <w:i w:val="0"/>
          <w:sz w:val="21"/>
        </w:rPr>
        <w:t>(a)  Fruit pulp</w:t>
      </w:r>
    </w:p>
    <w:p>
      <w:pPr>
        <w:spacing w:after="20" w:before="0"/>
      </w:pPr>
      <w:r>
        <w:rPr>
          <w:b w:val="0"/>
          <w:i w:val="0"/>
          <w:sz w:val="21"/>
        </w:rPr>
        <w:t>(b)  Crackers</w:t>
      </w:r>
    </w:p>
    <w:p>
      <w:pPr>
        <w:spacing w:after="20" w:before="0"/>
      </w:pPr>
      <w:r>
        <w:rPr>
          <w:b w:val="0"/>
          <w:i w:val="0"/>
          <w:sz w:val="21"/>
        </w:rPr>
        <w:t>(c)  Purees</w:t>
      </w:r>
    </w:p>
    <w:p>
      <w:pPr>
        <w:spacing w:after="20" w:before="0"/>
      </w:pPr>
      <w:r>
        <w:rPr>
          <w:b w:val="0"/>
          <w:i w:val="0"/>
          <w:sz w:val="21"/>
        </w:rPr>
        <w:t>(d)  Cold cereals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After cleft lip/palate repair, the baby is fed SOFT, PUREED foods and liquids that need NO SUCKING (sucking stresses the suture line). Purees/semi-solids are given by spoon or syringe/cup; hard, crunchy or finger foods (crackers, cold cereals) are avoided.</w:t>
      </w:r>
    </w:p>
    <w:p>
      <w:pPr>
        <w:spacing w:after="20" w:before="0"/>
      </w:pPr>
      <w:r>
        <w:rPr>
          <w:b/>
        </w:rPr>
        <w:t xml:space="preserve">🔍 Key Clues: </w:t>
      </w:r>
      <w:r>
        <w:t>'Post cleft repair = soft purees, no sucking, no hard foods (protect the suture line)'.</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Fruit pulp alone is too limited; purees are the standard instruction. | b — Crackers are hard/crunchy — forbidden post-repair. | d — Cold cereals are crunchy and inappropriate.</w:t>
      </w:r>
    </w:p>
    <w:p>
      <w:pPr>
        <w:spacing w:after="20" w:before="0"/>
      </w:pPr>
      <w:r>
        <w:rPr>
          <w:b/>
          <w:color w:val="B45F06"/>
        </w:rPr>
        <w:t xml:space="preserve">⚠️ Exam Trap: </w:t>
      </w:r>
      <w:r>
        <w:t>Protect the repair: no nipples/sucking, no hard foods; feed by spoon/cup with soft purees.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Post-cleft-repair diet: soft purees, no sucking, no crunchy foods.</w:t>
      </w:r>
    </w:p>
    <w:p>
      <w:pPr>
        <w:spacing w:after="0" w:before="0"/>
      </w:pPr>
      <w:r>
        <w:rPr>
          <w:b/>
          <w:i w:val="0"/>
          <w:sz w:val="21"/>
        </w:rPr>
        <w:t>Positive Marks: 1    Negative Marks: 0.25</w:t>
      </w:r>
    </w:p>
    <w:p>
      <w:pPr>
        <w:spacing w:before="280" w:after="40"/>
      </w:pPr>
      <w:r>
        <w:rPr>
          <w:b/>
        </w:rPr>
        <w:t xml:space="preserve">Question: </w:t>
      </w:r>
      <w:r>
        <w:t>Nurses Day theme 2021 was: (FON)</w:t>
      </w:r>
    </w:p>
    <w:p>
      <w:pPr>
        <w:spacing w:after="20" w:before="0"/>
      </w:pPr>
      <w:r>
        <w:rPr>
          <w:b w:val="0"/>
          <w:i w:val="0"/>
          <w:sz w:val="21"/>
        </w:rPr>
        <w:t>(a)  Nurses: A voice to lead - A Vision for future healthcare.</w:t>
      </w:r>
    </w:p>
    <w:p>
      <w:pPr>
        <w:spacing w:after="20" w:before="0"/>
      </w:pPr>
      <w:r>
        <w:rPr>
          <w:b w:val="0"/>
          <w:i w:val="0"/>
          <w:sz w:val="21"/>
        </w:rPr>
        <w:t>(b)  Nurses: A voice to lead - Nursing the World to Health.</w:t>
      </w:r>
    </w:p>
    <w:p>
      <w:pPr>
        <w:spacing w:after="20" w:before="0"/>
      </w:pPr>
      <w:r>
        <w:rPr>
          <w:b w:val="0"/>
          <w:i w:val="0"/>
          <w:sz w:val="21"/>
        </w:rPr>
        <w:t>(c)  Nurses: A voice to lead - Health for All.</w:t>
      </w:r>
    </w:p>
    <w:p>
      <w:pPr>
        <w:spacing w:after="20" w:before="0"/>
      </w:pPr>
      <w:r>
        <w:rPr>
          <w:b w:val="0"/>
          <w:i w:val="0"/>
          <w:sz w:val="21"/>
        </w:rPr>
        <w:t>(d)  Nurses: A voice to lead - Health is a Human Right.</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Concept &amp; Logic: </w:t>
      </w:r>
      <w:r>
        <w:t>The ICN International Nurses Day theme for 2021 was ‘NURSES: A VOICE TO LEAD – A VISION FOR FUTURE HEALTHCARE’ (building on the 2020 Year of the Nurse and Midwife, COVID context). 'Nursing the World to Health' was the 2020 theme.</w:t>
      </w:r>
    </w:p>
    <w:p>
      <w:pPr>
        <w:spacing w:after="20" w:before="0"/>
      </w:pPr>
      <w:r>
        <w:rPr>
          <w:b/>
        </w:rPr>
        <w:t xml:space="preserve">🔍 Key Clues: </w:t>
      </w:r>
      <w:r>
        <w:t>'Nurses Day 2021 = A Voice to Lead – A Vision for Future Healthcare'.</w:t>
      </w:r>
    </w:p>
    <w:p>
      <w:pPr>
        <w:spacing w:after="20" w:before="0"/>
      </w:pPr>
      <w:r>
        <w:rPr>
          <w:b/>
        </w:rPr>
        <w:t xml:space="preserve">❌ Why Not Other Options: </w:t>
      </w:r>
      <w:r>
        <w:t>b — Nursing the World to Health = 2020 theme. | c — Health for All is not the 2021 theme. | d — Health is a Human Right is not the 2021 theme.</w:t>
      </w:r>
    </w:p>
    <w:p>
      <w:pPr>
        <w:spacing w:after="20" w:before="0"/>
      </w:pPr>
      <w:r>
        <w:rPr>
          <w:b/>
          <w:color w:val="B45F06"/>
        </w:rPr>
        <w:t xml:space="preserve">⚠️ Exam Trap: </w:t>
      </w:r>
      <w:r>
        <w:t>Theme years: 2020 = Nursing the World to Health; 2021 = A Vision for Future Healthcare.</w:t>
      </w:r>
    </w:p>
    <w:p>
      <w:pPr>
        <w:spacing w:after="20" w:before="0"/>
      </w:pPr>
      <w:r>
        <w:rPr>
          <w:b/>
          <w:color w:val="1F3A5F"/>
        </w:rPr>
        <w:t xml:space="preserve">💎 PNC Pearl: </w:t>
      </w:r>
      <w:r>
        <w:t>ICN Nurses Day 2021: Nurses – A Voice to Lead: A Vision for Future Healthcare.</w:t>
      </w:r>
    </w:p>
    <w:p>
      <w:pPr>
        <w:spacing w:after="0" w:before="0"/>
      </w:pPr>
      <w:r>
        <w:rPr>
          <w:b/>
          <w:i w:val="0"/>
          <w:sz w:val="21"/>
        </w:rPr>
        <w:t>Positive Marks: 1    Negative Marks: 0.25</w:t>
      </w:r>
    </w:p>
    <w:p>
      <w:pPr>
        <w:spacing w:before="280" w:after="40"/>
      </w:pPr>
      <w:r>
        <w:rPr>
          <w:b/>
        </w:rPr>
        <w:t xml:space="preserve">Question: </w:t>
      </w:r>
      <w:r>
        <w:t>Total parenteral nutrition (TPN) fluid is of which type: (FON)</w:t>
      </w:r>
    </w:p>
    <w:p>
      <w:pPr>
        <w:spacing w:after="20" w:before="0"/>
      </w:pPr>
      <w:r>
        <w:rPr>
          <w:b w:val="0"/>
          <w:i w:val="0"/>
          <w:sz w:val="21"/>
        </w:rPr>
        <w:t>(a)  Isotonic</w:t>
      </w:r>
    </w:p>
    <w:p>
      <w:pPr>
        <w:spacing w:after="20" w:before="0"/>
      </w:pPr>
      <w:r>
        <w:rPr>
          <w:b w:val="0"/>
          <w:i w:val="0"/>
          <w:sz w:val="21"/>
        </w:rPr>
        <w:t>(b)  Hypotonic</w:t>
      </w:r>
    </w:p>
    <w:p>
      <w:pPr>
        <w:spacing w:after="20" w:before="0"/>
      </w:pPr>
      <w:r>
        <w:rPr>
          <w:b w:val="0"/>
          <w:i w:val="0"/>
          <w:sz w:val="21"/>
        </w:rPr>
        <w:t>(c)  Hypertonic</w:t>
      </w:r>
    </w:p>
    <w:p>
      <w:pPr>
        <w:spacing w:after="20" w:before="0"/>
      </w:pPr>
      <w:r>
        <w:rPr>
          <w:b w:val="0"/>
          <w:i w:val="0"/>
          <w:sz w:val="21"/>
        </w:rPr>
        <w:t>(d)  None of the above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TPN is HYPERTONIC — its high glucose, amino acid and electrolyte content gives an osmolarity well above plasma. For this reason TPN must be infused through a CENTRAL line, never a peripheral vein (which would cause phlebitis/thrombosis).</w:t>
      </w:r>
    </w:p>
    <w:p>
      <w:pPr>
        <w:spacing w:after="20" w:before="0"/>
      </w:pPr>
      <w:r>
        <w:rPr>
          <w:b/>
        </w:rPr>
        <w:t xml:space="preserve">🔍 Key Clues: </w:t>
      </w:r>
      <w:r>
        <w:t>'TPN = hypertonic → central line only'.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Isotonic fluids can go peripherally; TPN cannot. | b — Hypotonic fluids are not for TPN. | d — A correct option exists (c).</w:t>
      </w:r>
    </w:p>
    <w:p>
      <w:pPr>
        <w:spacing w:after="20" w:before="0"/>
      </w:pPr>
      <w:r>
        <w:rPr>
          <w:b/>
          <w:color w:val="B45F06"/>
        </w:rPr>
        <w:t xml:space="preserve">⚠️ Exam Trap: </w:t>
      </w:r>
      <w:r>
        <w:t>Peripheral parenteral nutrition uses lower osmolarity; standard TPN is hypertonic and central.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TPN = hypertonic → central venous access required.</w:t>
      </w:r>
    </w:p>
    <w:p>
      <w:pPr>
        <w:spacing w:after="0" w:before="0"/>
      </w:pPr>
      <w:r>
        <w:rPr>
          <w:b/>
          <w:i w:val="0"/>
          <w:sz w:val="21"/>
        </w:rPr>
        <w:t>Positive Marks: 1    Negative Marks: 0.25</w:t>
      </w:r>
    </w:p>
    <w:p>
      <w:pPr>
        <w:spacing w:before="280" w:after="40"/>
      </w:pPr>
      <w:r>
        <w:rPr>
          <w:b/>
        </w:rPr>
        <w:t xml:space="preserve">Question: </w:t>
      </w:r>
      <w:r>
        <w:t>Male infertility is common complication of: (OBG)</w:t>
      </w:r>
    </w:p>
    <w:p>
      <w:pPr>
        <w:spacing w:after="20" w:before="0"/>
      </w:pPr>
      <w:r>
        <w:rPr>
          <w:b w:val="0"/>
          <w:i w:val="0"/>
          <w:sz w:val="21"/>
        </w:rPr>
        <w:t>(a)  Measles</w:t>
      </w:r>
    </w:p>
    <w:p>
      <w:pPr>
        <w:spacing w:after="20" w:before="0"/>
      </w:pPr>
      <w:r>
        <w:rPr>
          <w:b w:val="0"/>
          <w:i w:val="0"/>
          <w:sz w:val="21"/>
        </w:rPr>
        <w:t>(b)  Chickenpox</w:t>
      </w:r>
    </w:p>
    <w:p>
      <w:pPr>
        <w:spacing w:after="20" w:before="0"/>
      </w:pPr>
      <w:r>
        <w:rPr>
          <w:b w:val="0"/>
          <w:i w:val="0"/>
          <w:sz w:val="21"/>
        </w:rPr>
        <w:t>(c)  Mumps</w:t>
      </w:r>
    </w:p>
    <w:p>
      <w:pPr>
        <w:spacing w:after="20" w:before="0"/>
      </w:pPr>
      <w:r>
        <w:rPr>
          <w:b w:val="0"/>
          <w:i w:val="0"/>
          <w:sz w:val="21"/>
        </w:rPr>
        <w:t>(d)  Rubella</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MUMPS complicated by ORCHITIS (usually in post-pubertal males) can cause testicular atrophy and MALE INFERTILITY. Rubella causes congenital defects in pregnancy; measles/chickenpox do not typically cause male infertility.</w:t>
      </w:r>
    </w:p>
    <w:p>
      <w:pPr>
        <w:spacing w:after="20" w:before="0"/>
      </w:pPr>
      <w:r>
        <w:rPr>
          <w:b/>
        </w:rPr>
        <w:t xml:space="preserve">🔍 Key Clues: </w:t>
      </w:r>
      <w:r>
        <w:t>'Mumps orchitis → male infertility'.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Measles causes SSPE/pneumonia, not infertility. | b — Chickenpox does not cause male infertility. | d — Rubella causes congenital rubella syndrome.</w:t>
      </w:r>
    </w:p>
    <w:p>
      <w:pPr>
        <w:spacing w:after="20" w:before="0"/>
      </w:pPr>
      <w:r>
        <w:rPr>
          <w:b/>
          <w:color w:val="B45F06"/>
        </w:rPr>
        <w:t xml:space="preserve">⚠️ Exam Trap: </w:t>
      </w:r>
      <w:r>
        <w:t>Mumps = orchitis + meningitis + pancreatitis; the orchitis is the infertility link.</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Mumps orchitis → male infertility (testicular atrophy).</w:t>
      </w:r>
    </w:p>
    <w:p>
      <w:pPr>
        <w:spacing w:after="0" w:before="0"/>
      </w:pPr>
      <w:r>
        <w:rPr>
          <w:b/>
          <w:i w:val="0"/>
          <w:sz w:val="21"/>
        </w:rPr>
        <w:t>Positive Marks: 1    Negative Marks: 0.25</w:t>
      </w:r>
    </w:p>
    <w:p>
      <w:pPr>
        <w:spacing w:before="280" w:after="40"/>
      </w:pPr>
      <w:r>
        <w:rPr>
          <w:b/>
        </w:rPr>
        <w:t xml:space="preserve">Question: </w:t>
      </w:r>
      <w:r>
        <w:t>A patient transferred to labor room and the nurse identifies that the patient is in first stage of labor. When will the nurse document the progress of labor with respect to the cervical dilation on a partograph? (OBG)</w:t>
      </w:r>
    </w:p>
    <w:p>
      <w:pPr>
        <w:spacing w:after="20" w:before="0"/>
      </w:pPr>
      <w:r>
        <w:rPr>
          <w:b w:val="0"/>
          <w:i w:val="0"/>
          <w:sz w:val="21"/>
        </w:rPr>
        <w:t>(a)  4 cm</w:t>
      </w:r>
    </w:p>
    <w:p>
      <w:pPr>
        <w:spacing w:after="20" w:before="0"/>
      </w:pPr>
      <w:r>
        <w:rPr>
          <w:b w:val="0"/>
          <w:i w:val="0"/>
          <w:sz w:val="21"/>
        </w:rPr>
        <w:t>(b)  5 cm</w:t>
      </w:r>
    </w:p>
    <w:p>
      <w:pPr>
        <w:spacing w:after="20" w:before="0"/>
      </w:pPr>
      <w:r>
        <w:rPr>
          <w:b w:val="0"/>
          <w:i w:val="0"/>
          <w:sz w:val="21"/>
        </w:rPr>
        <w:t>(c)  7 cm</w:t>
      </w:r>
    </w:p>
    <w:p>
      <w:pPr>
        <w:spacing w:after="20" w:before="0"/>
      </w:pPr>
      <w:r>
        <w:rPr>
          <w:b w:val="0"/>
          <w:i w:val="0"/>
          <w:sz w:val="21"/>
        </w:rPr>
        <w:t>(d)  10 cm</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WHO PARTOCRAPH is started once the woman is in the ACTIVE phase of the first stage — conventionally when the cervix is ≥ 4 cm dilated (the paper key answers 5 cm). From this point cervical dilation, descent, contractions, fetal heart and maternal observations are plotted against time with the alert and action lines.</w:t>
      </w:r>
    </w:p>
    <w:p>
      <w:pPr>
        <w:spacing w:after="20" w:before="0"/>
      </w:pPr>
      <w:r>
        <w:rPr>
          <w:b/>
        </w:rPr>
        <w:t xml:space="preserve">🔍 Key Clues: </w:t>
      </w:r>
      <w:r>
        <w:t>Partograph starts in active labour (cervix ~4 cm, key 5 cm) with the alert line.</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4 cm is the usual active-phase threshold; the paper keys 5 cm. | c — 7 cm is well into active labour. | d — 10 cm is full dilation (second stage).</w:t>
      </w:r>
    </w:p>
    <w:p>
      <w:pPr>
        <w:spacing w:after="20" w:before="0"/>
      </w:pPr>
      <w:r>
        <w:rPr>
          <w:b/>
          <w:color w:val="B45F06"/>
        </w:rPr>
        <w:t xml:space="preserve">⚠️ Exam Trap: </w:t>
      </w:r>
      <w:r>
        <w:t>Partograph = active phase onward; the exact cm varies by guideline (4–5 cm) — follow the paper key.</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Partograph: begin plotting cervical dilation in the active phase (4–5 cm).</w:t>
      </w:r>
    </w:p>
    <w:p>
      <w:pPr>
        <w:spacing w:after="0" w:before="0"/>
      </w:pPr>
      <w:r>
        <w:rPr>
          <w:b/>
          <w:i w:val="0"/>
          <w:sz w:val="21"/>
        </w:rPr>
        <w:t>Positive Marks: 1    Negative Marks: 0.25</w:t>
      </w:r>
    </w:p>
    <w:p>
      <w:pPr>
        <w:spacing w:before="280" w:after="40"/>
      </w:pPr>
      <w:r>
        <w:rPr>
          <w:b/>
        </w:rPr>
        <w:t xml:space="preserve">Question: </w:t>
      </w:r>
      <w:r>
        <w:t>A patient is prescribed 2000 mL of D5 ½ NS that should be administered within 24 hours with a microdrip set. Calculate the drop rate? (FON)</w:t>
      </w:r>
    </w:p>
    <w:p>
      <w:pPr>
        <w:spacing w:after="20" w:before="0"/>
      </w:pPr>
      <w:r>
        <w:rPr>
          <w:b w:val="0"/>
          <w:i w:val="0"/>
          <w:sz w:val="21"/>
        </w:rPr>
        <w:t>(a)  22</w:t>
      </w:r>
    </w:p>
    <w:p>
      <w:pPr>
        <w:spacing w:after="20" w:before="0"/>
      </w:pPr>
      <w:r>
        <w:rPr>
          <w:b w:val="0"/>
          <w:i w:val="0"/>
          <w:sz w:val="21"/>
        </w:rPr>
        <w:t>(b)  28</w:t>
      </w:r>
    </w:p>
    <w:p>
      <w:pPr>
        <w:spacing w:after="20" w:before="0"/>
      </w:pPr>
      <w:r>
        <w:rPr>
          <w:b w:val="0"/>
          <w:i w:val="0"/>
          <w:sz w:val="21"/>
        </w:rPr>
        <w:t>(c)  15</w:t>
      </w:r>
    </w:p>
    <w:p>
      <w:pPr>
        <w:spacing w:after="20" w:before="0"/>
      </w:pPr>
      <w:r>
        <w:rPr>
          <w:b w:val="0"/>
          <w:i w:val="0"/>
          <w:sz w:val="21"/>
        </w:rPr>
        <w:t>(d)  17</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Drop rate (gtt/min) = (total volume mL × drop factor) ÷ total time in minutes. Using the paper’s macro set of 15 gtt/mL: (2000 × 15) ÷ (24 × 60 = 1440 min) = 30,000 ÷ 1440 ≈ 20.8 ≈ 21–22 gtt/min — the key answers 22. (With a 60 gtt/mL microdrip the calculation gives ~83 gtt/min, which is not among the options.)</w:t>
      </w:r>
    </w:p>
    <w:p>
      <w:pPr>
        <w:spacing w:after="20" w:before="0"/>
      </w:pPr>
      <w:r>
        <w:rPr>
          <w:b/>
        </w:rPr>
        <w:t xml:space="preserve">🔍 Key Clues: </w:t>
      </w:r>
      <w:r>
        <w:t>gtt/min = (mL × drop factor) ÷ minutes → (2000 × 15) ÷ 1440 ≈ 22.</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28 would result from a different drop factor. | c — 15 is just the drop factor, not the rate. | d — 17 is from an incorrect divisor.</w:t>
      </w:r>
    </w:p>
    <w:p>
      <w:pPr>
        <w:spacing w:after="20" w:before="0"/>
      </w:pPr>
      <w:r>
        <w:rPr>
          <w:b/>
          <w:color w:val="B45F06"/>
        </w:rPr>
        <w:t xml:space="preserve">⚠️ Exam Trap: </w:t>
      </w:r>
      <w:r>
        <w:t>Check the drop factor: 15 (macro) vs 60 (micro) changes the answer completely — and the key uses 15 despite the stem saying microdrip.</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gtt/min = (volume × drop factor) ÷ time (min).</w:t>
      </w:r>
    </w:p>
    <w:p>
      <w:pPr>
        <w:spacing w:after="20" w:before="0"/>
      </w:pPr>
      <w:r>
        <w:rPr>
          <w:b/>
          <w:color w:val="B45F06"/>
        </w:rPr>
        <w:t xml:space="preserve">📌 Note: </w:t>
      </w:r>
      <w:r>
        <w:t>With a true microdrip set (60 gtt/mL) the rate is ~83 gtt/min. The paper key's answer (22 gtt/min) corresponds to a 15 gtt/mL macro set: (2000 × 15) ÷ 1440 min ≈ 21–22 gtt/min.</w:t>
      </w:r>
    </w:p>
    <w:p>
      <w:pPr>
        <w:spacing w:after="0" w:before="0"/>
      </w:pPr>
      <w:r>
        <w:rPr>
          <w:b/>
          <w:i w:val="0"/>
          <w:sz w:val="21"/>
        </w:rPr>
        <w:t>Positive Marks: 1    Negative Marks: 0.25</w:t>
      </w:r>
    </w:p>
    <w:p>
      <w:pPr>
        <w:spacing w:before="280" w:after="40"/>
      </w:pPr>
      <w:r>
        <w:rPr>
          <w:b/>
        </w:rPr>
        <w:t xml:space="preserve">Question: </w:t>
      </w:r>
      <w:r>
        <w:t>You have received a victim with a history of fall from 3rd floor and on examination the victim is unresponsive. Which method the nurse will use to assess the airway in this victim? (MSN)</w:t>
      </w:r>
    </w:p>
    <w:p>
      <w:pPr>
        <w:spacing w:after="20" w:before="0"/>
      </w:pPr>
      <w:r>
        <w:rPr>
          <w:b w:val="0"/>
          <w:i w:val="0"/>
          <w:sz w:val="21"/>
        </w:rPr>
        <w:t>(a)  Jaw thrust maneuver</w:t>
      </w:r>
    </w:p>
    <w:p>
      <w:pPr>
        <w:spacing w:after="20" w:before="0"/>
      </w:pPr>
      <w:r>
        <w:rPr>
          <w:b w:val="0"/>
          <w:i w:val="0"/>
          <w:sz w:val="21"/>
        </w:rPr>
        <w:t>(b)  Head-tilt-chin lift maneuver</w:t>
      </w:r>
    </w:p>
    <w:p>
      <w:pPr>
        <w:spacing w:after="20" w:before="0"/>
      </w:pPr>
      <w:r>
        <w:rPr>
          <w:b w:val="0"/>
          <w:i w:val="0"/>
          <w:sz w:val="21"/>
        </w:rPr>
        <w:t>(c)  Heimlich maneuver</w:t>
      </w:r>
    </w:p>
    <w:p>
      <w:pPr>
        <w:spacing w:after="20" w:before="0"/>
      </w:pPr>
      <w:r>
        <w:rPr>
          <w:b w:val="0"/>
          <w:i w:val="0"/>
          <w:sz w:val="21"/>
        </w:rPr>
        <w:t>(d)  None of the above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fall from a height risks CERVICAL SPINE injury. In a trauma patient with suspected neck injury, the airway is opened with the JAW-THRUST maneuver (without head tilt), keeping the spine neutral and manually stabilised. Head-tilt-chin-lift is avoided in trauma because it can worsen a cervical injury.</w:t>
      </w:r>
    </w:p>
    <w:p>
      <w:pPr>
        <w:spacing w:after="20" w:before="0"/>
      </w:pPr>
      <w:r>
        <w:rPr>
          <w:b/>
        </w:rPr>
        <w:t xml:space="preserve">🔍 Key Clues: </w:t>
      </w:r>
      <w:r>
        <w:t>'Trauma/unresponsive = jaw thrust (no head tilt — cervical spine protection)'.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Head-tilt-chin-lift is contraindicated in suspected cervical injury. | c — Heimlich is for foreign-body airway obstruction. | d — A correct option exists (a).</w:t>
      </w:r>
    </w:p>
    <w:p>
      <w:pPr>
        <w:spacing w:after="20" w:before="0"/>
      </w:pPr>
      <w:r>
        <w:rPr>
          <w:b/>
          <w:color w:val="B45F06"/>
        </w:rPr>
        <w:t xml:space="preserve">⚠️ Exam Trap: </w:t>
      </w:r>
      <w:r>
        <w:t>Airway: non-trauma = head-tilt-chin-lift; trauma = jaw thrust with manual stabilisation.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Trauma airway: jaw thrust (cervical spine protection).</w:t>
      </w:r>
    </w:p>
    <w:p>
      <w:pPr>
        <w:spacing w:after="0" w:before="0"/>
      </w:pPr>
      <w:r>
        <w:rPr>
          <w:b/>
          <w:i w:val="0"/>
          <w:sz w:val="21"/>
        </w:rPr>
        <w:t>Positive Marks: 1    Negative Marks: 0.25</w:t>
      </w:r>
    </w:p>
    <w:p>
      <w:pPr>
        <w:spacing w:before="280" w:after="40"/>
      </w:pPr>
      <w:r>
        <w:rPr>
          <w:b/>
        </w:rPr>
        <w:t xml:space="preserve">Question: </w:t>
      </w:r>
      <w:r>
        <w:t>A person believes that he is a God and he has all the powers. He is exhibiting: (MSN)</w:t>
      </w:r>
    </w:p>
    <w:p>
      <w:pPr>
        <w:spacing w:after="20" w:before="0"/>
      </w:pPr>
      <w:r>
        <w:rPr>
          <w:b w:val="0"/>
          <w:i w:val="0"/>
          <w:sz w:val="21"/>
        </w:rPr>
        <w:t>(a)  Delusion of reference</w:t>
      </w:r>
    </w:p>
    <w:p>
      <w:pPr>
        <w:spacing w:after="20" w:before="0"/>
      </w:pPr>
      <w:r>
        <w:rPr>
          <w:b w:val="0"/>
          <w:i w:val="0"/>
          <w:sz w:val="21"/>
        </w:rPr>
        <w:t>(b)  Delusion of grandeur</w:t>
      </w:r>
    </w:p>
    <w:p>
      <w:pPr>
        <w:spacing w:after="20" w:before="0"/>
      </w:pPr>
      <w:r>
        <w:rPr>
          <w:b w:val="0"/>
          <w:i w:val="0"/>
          <w:sz w:val="21"/>
        </w:rPr>
        <w:t>(c)  Delusion of persecution</w:t>
      </w:r>
    </w:p>
    <w:p>
      <w:pPr>
        <w:spacing w:after="20" w:before="0"/>
      </w:pPr>
      <w:r>
        <w:rPr>
          <w:b w:val="0"/>
          <w:i w:val="0"/>
          <w:sz w:val="21"/>
        </w:rPr>
        <w:t>(d)  Nihilistic delusion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belief that one IS GOD with all powers is a DELUSION OF GRANDEUR — an inflated false belief of special identity, power, wealth or ability, classically seen in mania and schizophrenia. Persecution = being harmed; reference = neutral events relate to self; nihilistic = nothing exists.</w:t>
      </w:r>
    </w:p>
    <w:p>
      <w:pPr>
        <w:spacing w:after="20" w:before="0"/>
      </w:pPr>
      <w:r>
        <w:rPr>
          <w:b/>
        </w:rPr>
        <w:t xml:space="preserve">🔍 Key Clues: </w:t>
      </w:r>
      <w:r>
        <w:t>'Believes he is God/all-powerful = grandiosity'.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Reference: neutral events are believed to refer to oneself. | c — Persecution: belief of being threatened/harmed. | d — Nihilistic: belief of death/non-existence.</w:t>
      </w:r>
    </w:p>
    <w:p>
      <w:pPr>
        <w:spacing w:after="20" w:before="0"/>
      </w:pPr>
      <w:r>
        <w:rPr>
          <w:b/>
          <w:color w:val="B45F06"/>
        </w:rPr>
        <w:t xml:space="preserve">⚠️ Exam Trap: </w:t>
      </w:r>
      <w:r>
        <w:t>Grandiose delusions = inflated identity/power (mania, schizophrenia); the 'God' content is the giveaway.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Delusion of grandeur: false belief of special power/identity (e.g. being God).</w:t>
      </w:r>
    </w:p>
    <w:p>
      <w:pPr>
        <w:spacing w:after="0" w:before="0"/>
      </w:pPr>
      <w:r>
        <w:rPr>
          <w:b/>
          <w:i w:val="0"/>
          <w:sz w:val="21"/>
        </w:rPr>
        <w:t>Positive Marks: 1    Negative Marks: 0.25</w:t>
      </w:r>
    </w:p>
    <w:p>
      <w:pPr>
        <w:spacing w:before="280" w:after="40"/>
      </w:pPr>
      <w:r>
        <w:rPr>
          <w:b/>
        </w:rPr>
        <w:t xml:space="preserve">Question: </w:t>
      </w:r>
      <w:r>
        <w:t>Mantoux test is done on a patient who has been suffering from HIV. What value of induration indicates the TB infection in the patient? (MSN)</w:t>
      </w:r>
    </w:p>
    <w:p>
      <w:pPr>
        <w:spacing w:after="20" w:before="0"/>
      </w:pPr>
      <w:r>
        <w:rPr>
          <w:b w:val="0"/>
          <w:i w:val="0"/>
          <w:sz w:val="21"/>
        </w:rPr>
        <w:t>(a)  5</w:t>
      </w:r>
    </w:p>
    <w:p>
      <w:pPr>
        <w:spacing w:after="20" w:before="0"/>
      </w:pPr>
      <w:r>
        <w:rPr>
          <w:b w:val="0"/>
          <w:i w:val="0"/>
          <w:sz w:val="21"/>
        </w:rPr>
        <w:t>(b)  7</w:t>
      </w:r>
    </w:p>
    <w:p>
      <w:pPr>
        <w:spacing w:after="20" w:before="0"/>
      </w:pPr>
      <w:r>
        <w:rPr>
          <w:b w:val="0"/>
          <w:i w:val="0"/>
          <w:sz w:val="21"/>
        </w:rPr>
        <w:t>(c)  11</w:t>
      </w:r>
    </w:p>
    <w:p>
      <w:pPr>
        <w:spacing w:after="20" w:before="0"/>
      </w:pPr>
      <w:r>
        <w:rPr>
          <w:b w:val="0"/>
          <w:i w:val="0"/>
          <w:sz w:val="21"/>
        </w:rPr>
        <w:t>(d)  15</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Mantoux (TST) positive cut-offs: ≥ 5 mm in HIV-positive people and close contacts of TB; ≥ 10 mm in other high-risk groups (health workers, children &lt; 4 years); ≥ 15 mm in people with no risk factors. In HIV the immune response is blunted, so a smaller induration is significant.</w:t>
      </w:r>
    </w:p>
    <w:p>
      <w:pPr>
        <w:spacing w:after="20" w:before="0"/>
      </w:pPr>
      <w:r>
        <w:rPr>
          <w:b/>
        </w:rPr>
        <w:t xml:space="preserve">🔍 Key Clues: </w:t>
      </w:r>
      <w:r>
        <w:t>'HIV + Mantoux ≥ 5 mm = positive (immune-blunted)'.</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b — 7 mm is not a standard cut-off. | c — 11 mm is above the 10 mm threshold for high-risk groups. | d — 15 mm is the cut-off for low-risk individuals.</w:t>
      </w:r>
    </w:p>
    <w:p>
      <w:pPr>
        <w:spacing w:after="20" w:before="0"/>
      </w:pPr>
      <w:r>
        <w:rPr>
          <w:b/>
          <w:color w:val="B45F06"/>
        </w:rPr>
        <w:t xml:space="preserve">⚠️ Exam Trap: </w:t>
      </w:r>
      <w:r>
        <w:t>Cut-offs: 5 (HIV/contacts), 10 (high-risk), 15 (low-risk) — the blunter the immunity, the lower the bar.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Mantoux positive: ≥ 5 mm in HIV/contacts; ≥ 10 mm high-risk; ≥ 15 mm low-risk.</w:t>
      </w:r>
    </w:p>
    <w:p>
      <w:pPr>
        <w:spacing w:after="0" w:before="0"/>
      </w:pPr>
      <w:r>
        <w:rPr>
          <w:b/>
          <w:i w:val="0"/>
          <w:sz w:val="21"/>
        </w:rPr>
        <w:t>Positive Marks: 1    Negative Marks: 0.25</w:t>
      </w:r>
    </w:p>
    <w:p>
      <w:pPr>
        <w:spacing w:before="280" w:after="40"/>
      </w:pPr>
      <w:r>
        <w:rPr>
          <w:b/>
        </w:rPr>
        <w:t xml:space="preserve">Question: </w:t>
      </w:r>
      <w:r>
        <w:t>Tell the odd one out: KIND: THOUGHTFUL: AMBIENT: GRACIOUS</w:t>
      </w:r>
    </w:p>
    <w:p>
      <w:pPr>
        <w:spacing w:after="20" w:before="0"/>
      </w:pPr>
      <w:r>
        <w:rPr>
          <w:b w:val="0"/>
          <w:i w:val="0"/>
          <w:sz w:val="21"/>
        </w:rPr>
        <w:t>(a)  Thoughtful</w:t>
      </w:r>
    </w:p>
    <w:p>
      <w:pPr>
        <w:spacing w:after="20" w:before="0"/>
      </w:pPr>
      <w:r>
        <w:rPr>
          <w:b w:val="0"/>
          <w:i w:val="0"/>
          <w:sz w:val="21"/>
        </w:rPr>
        <w:t>(b)  Ambient</w:t>
      </w:r>
    </w:p>
    <w:p>
      <w:pPr>
        <w:spacing w:after="20" w:before="0"/>
      </w:pPr>
      <w:r>
        <w:rPr>
          <w:b w:val="0"/>
          <w:i w:val="0"/>
          <w:sz w:val="21"/>
        </w:rPr>
        <w:t>(c)  Gracious</w:t>
      </w:r>
    </w:p>
    <w:p>
      <w:pPr>
        <w:spacing w:after="20" w:before="0"/>
      </w:pPr>
      <w:r>
        <w:rPr>
          <w:b w:val="0"/>
          <w:i w:val="0"/>
          <w:sz w:val="21"/>
        </w:rPr>
        <w:t>(d)  Kind</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Concept &amp; Logic: </w:t>
      </w:r>
      <w:r>
        <w:t>KIND, THOUGHTFUL and GRACIOUS are synonyms describing a considerate, pleasant personal quality. AMBIENT means relating to the immediate surroundings/environment — it is the odd one out.</w:t>
      </w:r>
    </w:p>
    <w:p>
      <w:pPr>
        <w:spacing w:after="20" w:before="0"/>
      </w:pPr>
      <w:r>
        <w:rPr>
          <w:b/>
        </w:rPr>
        <w:t xml:space="preserve">🔍 Key Clues: </w:t>
      </w:r>
      <w:r>
        <w:t>'Kind/Thoughtful/Gracious = considerate qualities; Ambient = environment-related'.</w:t>
      </w:r>
    </w:p>
    <w:p>
      <w:pPr>
        <w:spacing w:after="20" w:before="0"/>
      </w:pPr>
      <w:r>
        <w:rPr>
          <w:b/>
        </w:rPr>
        <w:t xml:space="preserve">❌ Why Not Other Options: </w:t>
      </w:r>
      <w:r>
        <w:t>a — Thoughtful is a synonym of kind/gracious. | c — Gracious is a synonym of kind/thoughtful. | d — Kind is a synonym of thoughtful/gracious.</w:t>
      </w:r>
    </w:p>
    <w:p>
      <w:pPr>
        <w:spacing w:after="20" w:before="0"/>
      </w:pPr>
      <w:r>
        <w:rPr>
          <w:b/>
          <w:color w:val="B45F06"/>
        </w:rPr>
        <w:t xml:space="preserve">⚠️ Exam Trap: </w:t>
      </w:r>
      <w:r>
        <w:t>Odd-one-out: group by meaning — three are personal virtues, one is environmental.</w:t>
      </w:r>
    </w:p>
    <w:p>
      <w:pPr>
        <w:spacing w:after="20" w:before="0"/>
      </w:pPr>
      <w:r>
        <w:rPr>
          <w:b/>
          <w:color w:val="1F3A5F"/>
        </w:rPr>
        <w:t xml:space="preserve">💎 PNC Pearl: </w:t>
      </w:r>
      <w:r>
        <w:t>Ambient = surroundings/environment; the other three = considerate qualities.</w:t>
      </w:r>
    </w:p>
    <w:p>
      <w:pPr>
        <w:spacing w:after="0" w:before="0"/>
      </w:pPr>
      <w:r>
        <w:rPr>
          <w:b/>
          <w:i w:val="0"/>
          <w:sz w:val="21"/>
        </w:rPr>
        <w:t>Positive Marks: 1    Negative Marks: 0.25</w:t>
      </w:r>
    </w:p>
    <w:p>
      <w:pPr>
        <w:spacing w:before="280" w:after="40"/>
      </w:pPr>
      <w:r>
        <w:rPr>
          <w:b/>
        </w:rPr>
        <w:t xml:space="preserve">Question: </w:t>
      </w:r>
      <w:r>
        <w:t>Patient in ED is admitted with a history of chemical burns? What is the priority nursing intervention? (MSN)</w:t>
      </w:r>
    </w:p>
    <w:p>
      <w:pPr>
        <w:spacing w:after="20" w:before="0"/>
      </w:pPr>
      <w:r>
        <w:rPr>
          <w:b w:val="0"/>
          <w:i w:val="0"/>
          <w:sz w:val="21"/>
        </w:rPr>
        <w:t>(a)  Wash with running water</w:t>
      </w:r>
    </w:p>
    <w:p>
      <w:pPr>
        <w:spacing w:after="20" w:before="0"/>
      </w:pPr>
      <w:r>
        <w:rPr>
          <w:b w:val="0"/>
          <w:i w:val="0"/>
          <w:sz w:val="21"/>
        </w:rPr>
        <w:t>(b)  Call doctor</w:t>
      </w:r>
    </w:p>
    <w:p>
      <w:pPr>
        <w:spacing w:after="20" w:before="0"/>
      </w:pPr>
      <w:r>
        <w:rPr>
          <w:b w:val="0"/>
          <w:i w:val="0"/>
          <w:sz w:val="21"/>
        </w:rPr>
        <w:t>(c)  Apply povidone cream</w:t>
      </w:r>
    </w:p>
    <w:p>
      <w:pPr>
        <w:spacing w:after="20" w:before="0"/>
      </w:pPr>
      <w:r>
        <w:rPr>
          <w:b w:val="0"/>
          <w:i w:val="0"/>
          <w:sz w:val="21"/>
        </w:rPr>
        <w:t>(d)  Apply antibiotic cream</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In CHEMICAL burns the priority is to dilute and remove the chemical — IRRIGATE/WASH the area with copious RUNNING WATER for at least 15–20 minutes (brushing off dry chemical first). Creams are applied later; the physician is notified alongside irrigation, not before it.</w:t>
      </w:r>
    </w:p>
    <w:p>
      <w:pPr>
        <w:spacing w:after="20" w:before="0"/>
      </w:pPr>
      <w:r>
        <w:rPr>
          <w:b/>
        </w:rPr>
        <w:t xml:space="preserve">🔍 Key Clues: </w:t>
      </w:r>
      <w:r>
        <w:t>'Chemical burn = copious water irrigation first (dilute + remove)'.</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Calling the doctor does not replace immediate irrigation. | c — Povidone cream is not the first step. | d — Antibiotic cream is applied after irrigation.</w:t>
      </w:r>
    </w:p>
    <w:p>
      <w:pPr>
        <w:spacing w:after="20" w:before="0"/>
      </w:pPr>
      <w:r>
        <w:rPr>
          <w:b/>
          <w:color w:val="B45F06"/>
        </w:rPr>
        <w:t xml:space="preserve">⚠️ Exam Trap: </w:t>
      </w:r>
      <w:r>
        <w:t>For dry chemicals (lime), brush off first, then flood with water — never add water to some reactive powders.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Chemical burn: irrigate with running water 15–20 min (brush dry chemical first).</w:t>
      </w:r>
    </w:p>
    <w:p>
      <w:pPr>
        <w:spacing w:after="0" w:before="0"/>
      </w:pPr>
      <w:r>
        <w:rPr>
          <w:b/>
          <w:i w:val="0"/>
          <w:sz w:val="21"/>
        </w:rPr>
        <w:t>Positive Marks: 1    Negative Marks: 0.25</w:t>
      </w:r>
    </w:p>
    <w:p>
      <w:pPr>
        <w:spacing w:before="280" w:after="40"/>
      </w:pPr>
      <w:r>
        <w:rPr>
          <w:b/>
        </w:rPr>
        <w:t xml:space="preserve">Question: </w:t>
      </w:r>
      <w:r>
        <w:t>A patient with circumferential burn comes to the emergency. The patient should be assessed for which complication? (MSN)</w:t>
      </w:r>
    </w:p>
    <w:p>
      <w:pPr>
        <w:spacing w:after="20" w:before="0"/>
      </w:pPr>
      <w:r>
        <w:rPr>
          <w:b w:val="0"/>
          <w:i w:val="0"/>
          <w:sz w:val="21"/>
        </w:rPr>
        <w:t>(a)  Absent peripheral pulse</w:t>
      </w:r>
    </w:p>
    <w:p>
      <w:pPr>
        <w:spacing w:after="20" w:before="0"/>
      </w:pPr>
      <w:r>
        <w:rPr>
          <w:b w:val="0"/>
          <w:i w:val="0"/>
          <w:sz w:val="21"/>
        </w:rPr>
        <w:t>(b)  Fluid status</w:t>
      </w:r>
    </w:p>
    <w:p>
      <w:pPr>
        <w:spacing w:after="20" w:before="0"/>
      </w:pPr>
      <w:r>
        <w:rPr>
          <w:b w:val="0"/>
          <w:i w:val="0"/>
          <w:sz w:val="21"/>
        </w:rPr>
        <w:t>(c)  Urine output</w:t>
      </w:r>
    </w:p>
    <w:p>
      <w:pPr>
        <w:spacing w:after="20" w:before="0"/>
      </w:pPr>
      <w:r>
        <w:rPr>
          <w:b w:val="0"/>
          <w:i w:val="0"/>
          <w:sz w:val="21"/>
        </w:rPr>
        <w:t>(d)  Engorged neck veins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CIRCUMFERENTIAL full-thickness burn acts as a constricting tourniquet — it can compromise distal circulation and cause compartment syndrome. The priority assessment is for ABSENT/DIMINISHED PERIPHERAL PULSE (plus pallor, pain, paraesthesia, paralysis) so escharotomy can be done early.</w:t>
      </w:r>
    </w:p>
    <w:p>
      <w:pPr>
        <w:spacing w:after="20" w:before="0"/>
      </w:pPr>
      <w:r>
        <w:rPr>
          <w:b/>
        </w:rPr>
        <w:t xml:space="preserve">🔍 Key Clues: </w:t>
      </w:r>
      <w:r>
        <w:t>'Circumferential burn = check distal pulses (compartment syndrome risk)'.</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Fluid status matters but is monitored in all burns. | c — Urine output reflects fluid resuscitation in all burns. | d — Engorged neck veins are not the circumferential-burn concern.</w:t>
      </w:r>
    </w:p>
    <w:p>
      <w:pPr>
        <w:spacing w:after="20" w:before="0"/>
      </w:pPr>
      <w:r>
        <w:rPr>
          <w:b/>
          <w:color w:val="B45F06"/>
        </w:rPr>
        <w:t xml:space="preserve">⚠️ Exam Trap: </w:t>
      </w:r>
      <w:r>
        <w:t>Circumferential burn → neurovascular checks (pulses) → escharotomy if compromised.</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Circumferential burn: assess distal pulses — escharotomy if circulation is compromised.</w:t>
      </w:r>
    </w:p>
    <w:p>
      <w:pPr>
        <w:spacing w:after="0" w:before="0"/>
      </w:pPr>
      <w:r>
        <w:rPr>
          <w:b/>
          <w:i w:val="0"/>
          <w:sz w:val="21"/>
        </w:rPr>
        <w:t>Positive Marks: 1    Negative Marks: 0.25</w:t>
      </w:r>
    </w:p>
    <w:p>
      <w:pPr>
        <w:spacing w:before="280" w:after="40"/>
      </w:pPr>
      <w:r>
        <w:rPr>
          <w:b/>
        </w:rPr>
        <w:t xml:space="preserve">Question: </w:t>
      </w:r>
      <w:r>
        <w:t>Schizophrenia life expectancy is_______________years less than the general population? (MHN)</w:t>
      </w:r>
    </w:p>
    <w:p>
      <w:pPr>
        <w:spacing w:after="20" w:before="0"/>
      </w:pPr>
      <w:r>
        <w:rPr>
          <w:b w:val="0"/>
          <w:i w:val="0"/>
          <w:sz w:val="21"/>
        </w:rPr>
        <w:t>(a)  2 – 5 yrs</w:t>
      </w:r>
    </w:p>
    <w:p>
      <w:pPr>
        <w:spacing w:after="20" w:before="0"/>
      </w:pPr>
      <w:r>
        <w:rPr>
          <w:b w:val="0"/>
          <w:i w:val="0"/>
          <w:sz w:val="21"/>
        </w:rPr>
        <w:t>(b)  8 – 10 yrs</w:t>
      </w:r>
    </w:p>
    <w:p>
      <w:pPr>
        <w:spacing w:after="20" w:before="0"/>
      </w:pPr>
      <w:r>
        <w:rPr>
          <w:b w:val="0"/>
          <w:i w:val="0"/>
          <w:sz w:val="21"/>
        </w:rPr>
        <w:t>(c)  11 - 20 yrs</w:t>
      </w:r>
    </w:p>
    <w:p>
      <w:pPr>
        <w:spacing w:after="20" w:before="0"/>
      </w:pPr>
      <w:r>
        <w:rPr>
          <w:b w:val="0"/>
          <w:i w:val="0"/>
          <w:sz w:val="21"/>
        </w:rPr>
        <w:t>(d)  1 - 2 yrs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Schizophrenia reduces life expectancy by about 11–20 YEARS (commonly quoted 10–20 years) — driven by cardiovascular disease, metabolic syndrome from antipsychotics, smoking, suicide and poor access to care.</w:t>
      </w:r>
    </w:p>
    <w:p>
      <w:pPr>
        <w:spacing w:after="20" w:before="0"/>
      </w:pPr>
      <w:r>
        <w:rPr>
          <w:b/>
        </w:rPr>
        <w:t xml:space="preserve">🔍 Key Clues: </w:t>
      </w:r>
      <w:r>
        <w:t>'Schizophrenia lifespan ↓ ~11–20 years (key) / 10–20 years (common figure)'.</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2–5 years is far too low. | b — 8–10 years underestimates the reduction. | d — 1–2 years is far too low.</w:t>
      </w:r>
    </w:p>
    <w:p>
      <w:pPr>
        <w:spacing w:after="20" w:before="0"/>
      </w:pPr>
      <w:r>
        <w:rPr>
          <w:b/>
          <w:color w:val="B45F06"/>
        </w:rPr>
        <w:t xml:space="preserve">⚠️ Exam Trap: </w:t>
      </w:r>
      <w:r>
        <w:t>The killer is physical comorbidity (CVD/metabolic), not schizophrenia itself.</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Schizophrenia: life expectancy reduced ~10–20 years (CVD, suicide, metabolic syndrome).</w:t>
      </w:r>
    </w:p>
    <w:p>
      <w:pPr>
        <w:spacing w:after="0" w:before="0"/>
      </w:pPr>
      <w:r>
        <w:rPr>
          <w:b/>
          <w:i w:val="0"/>
          <w:sz w:val="21"/>
        </w:rPr>
        <w:t>Positive Marks: 1    Negative Marks: 0.25</w:t>
      </w:r>
    </w:p>
    <w:p>
      <w:pPr>
        <w:spacing w:before="280" w:after="40"/>
      </w:pPr>
      <w:r>
        <w:rPr>
          <w:b/>
        </w:rPr>
        <w:t xml:space="preserve">Question: </w:t>
      </w:r>
      <w:r>
        <w:t>A young male with a movable and painless lump came to the OPD. Identify the condition: (MSN)</w:t>
      </w:r>
    </w:p>
    <w:p>
      <w:pPr>
        <w:spacing w:after="20" w:before="0"/>
      </w:pPr>
      <w:r>
        <w:rPr>
          <w:b w:val="0"/>
          <w:i w:val="0"/>
          <w:sz w:val="21"/>
        </w:rPr>
        <w:t>(a)  Lipoma</w:t>
      </w:r>
    </w:p>
    <w:p>
      <w:pPr>
        <w:spacing w:after="20" w:before="0"/>
      </w:pPr>
      <w:r>
        <w:rPr>
          <w:b w:val="0"/>
          <w:i w:val="0"/>
          <w:sz w:val="21"/>
        </w:rPr>
        <w:t>(b)  Myoma</w:t>
      </w:r>
    </w:p>
    <w:p>
      <w:pPr>
        <w:spacing w:after="20" w:before="0"/>
      </w:pPr>
      <w:r>
        <w:rPr>
          <w:b w:val="0"/>
          <w:i w:val="0"/>
          <w:sz w:val="21"/>
        </w:rPr>
        <w:t>(c)  Subcutaneous lesion</w:t>
      </w:r>
    </w:p>
    <w:p>
      <w:pPr>
        <w:spacing w:after="20" w:before="0"/>
      </w:pPr>
      <w:r>
        <w:rPr>
          <w:b w:val="0"/>
          <w:i w:val="0"/>
          <w:sz w:val="21"/>
        </w:rPr>
        <w:t>(d)  Hive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LIPOMA is a benign tumour of adipose tissue — classically a soft, MOBILE, PAINLESS, slow-growing subcutaneous lump with a lobulated feel. Myoma (leiomyoma) arises from smooth muscle (uterus); a hive is an itchy wheal; 'subcutaneous lesion' is a generic description.</w:t>
      </w:r>
    </w:p>
    <w:p>
      <w:pPr>
        <w:spacing w:after="20" w:before="0"/>
      </w:pPr>
      <w:r>
        <w:rPr>
          <w:b/>
        </w:rPr>
        <w:t xml:space="preserve">🔍 Key Clues: </w:t>
      </w:r>
      <w:r>
        <w:t>'Soft, movable, painless lump = lipoma'.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Myoma = smooth-muscle tumour (e.g. uterine fibroid). | c — Subcutaneous lesion is a vague category, not a diagnosis. | d — A hive is an itchy, transient wheal.</w:t>
      </w:r>
    </w:p>
    <w:p>
      <w:pPr>
        <w:spacing w:after="20" w:before="0"/>
      </w:pPr>
      <w:r>
        <w:rPr>
          <w:b/>
          <w:color w:val="B45F06"/>
        </w:rPr>
        <w:t xml:space="preserve">⚠️ Exam Trap: </w:t>
      </w:r>
      <w:r>
        <w:t>Lipoma = 'soft, doughy, mobile'; neurofibroma = 'slip through fingers'; cyst = fluctuant.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Lipoma: benign, soft, mobile, painless fatty lump.</w:t>
      </w:r>
    </w:p>
    <w:p>
      <w:pPr>
        <w:spacing w:after="0" w:before="0"/>
      </w:pPr>
      <w:r>
        <w:rPr>
          <w:b/>
          <w:i w:val="0"/>
          <w:sz w:val="21"/>
        </w:rPr>
        <w:t>Positive Marks: 1    Negative Marks: 0.25</w:t>
      </w:r>
    </w:p>
    <w:p>
      <w:pPr>
        <w:spacing w:before="280" w:after="40"/>
      </w:pPr>
      <w:r>
        <w:rPr>
          <w:b/>
        </w:rPr>
        <w:t xml:space="preserve">Question: </w:t>
      </w:r>
      <w:r>
        <w:t>All of the following are included in Surgical safety checklist, except: (FON)</w:t>
      </w:r>
    </w:p>
    <w:p>
      <w:pPr>
        <w:spacing w:after="20" w:before="0"/>
      </w:pPr>
      <w:r>
        <w:rPr>
          <w:b w:val="0"/>
          <w:i w:val="0"/>
          <w:sz w:val="21"/>
        </w:rPr>
        <w:t>(a)  Sign-in</w:t>
      </w:r>
    </w:p>
    <w:p>
      <w:pPr>
        <w:spacing w:after="20" w:before="0"/>
      </w:pPr>
      <w:r>
        <w:rPr>
          <w:b w:val="0"/>
          <w:i w:val="0"/>
          <w:sz w:val="21"/>
        </w:rPr>
        <w:t>(b)  Time-out</w:t>
      </w:r>
    </w:p>
    <w:p>
      <w:pPr>
        <w:spacing w:after="20" w:before="0"/>
      </w:pPr>
      <w:r>
        <w:rPr>
          <w:b w:val="0"/>
          <w:i w:val="0"/>
          <w:sz w:val="21"/>
        </w:rPr>
        <w:t>(c)  Time-in</w:t>
      </w:r>
    </w:p>
    <w:p>
      <w:pPr>
        <w:spacing w:after="20" w:before="0"/>
      </w:pPr>
      <w:r>
        <w:rPr>
          <w:b w:val="0"/>
          <w:i w:val="0"/>
          <w:sz w:val="21"/>
        </w:rPr>
        <w:t>(d)  Time-out</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WHO Surgical Safety Checklist has three phases: SIGN-IN (before anaesthesia), TIME-OUT (before skin incision) and SIGN-OUT (before leaving the OR). 'TIME-IN' is not a checklist phase — it is the odd one out. (Option d duplicates 'Time-out' in the printed paper.)</w:t>
      </w:r>
    </w:p>
    <w:p>
      <w:pPr>
        <w:spacing w:after="20" w:before="0"/>
      </w:pPr>
      <w:r>
        <w:rPr>
          <w:b/>
        </w:rPr>
        <w:t xml:space="preserve">🔍 Key Clues: </w:t>
      </w:r>
      <w:r>
        <w:t>'Checklist phases: Sign In, Time Out, Sign Out — Time-in is not one'.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Sign-In is the pre-anaesthesia phase. | b — Time-Out is the pre-incision phase. | d — Time-Out is duplicated in the printed options but is a real phase.</w:t>
      </w:r>
    </w:p>
    <w:p>
      <w:pPr>
        <w:spacing w:after="20" w:before="0"/>
      </w:pPr>
      <w:r>
        <w:rPr>
          <w:b/>
          <w:color w:val="B45F06"/>
        </w:rPr>
        <w:t xml:space="preserve">⚠️ Exam Trap: </w:t>
      </w:r>
      <w:r>
        <w:t>The three pauses: before induction (Sign In), before incision (Time Out), before exit (Sign Out).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Surgical Safety Checklist: Sign In, Time Out, Sign Out.</w:t>
      </w:r>
    </w:p>
    <w:p>
      <w:pPr>
        <w:spacing w:after="0" w:before="0"/>
      </w:pPr>
      <w:r>
        <w:rPr>
          <w:b/>
          <w:i w:val="0"/>
          <w:sz w:val="21"/>
        </w:rPr>
        <w:t>Positive Marks: 1    Negative Marks: 0.25</w:t>
      </w:r>
    </w:p>
    <w:p>
      <w:pPr>
        <w:spacing w:before="280" w:after="40"/>
      </w:pPr>
      <w:r>
        <w:rPr>
          <w:b/>
        </w:rPr>
        <w:t xml:space="preserve">Question: </w:t>
      </w:r>
      <w:r>
        <w:t>All among the following are seen in Anorexia nervosa, except: (MHN)</w:t>
      </w:r>
    </w:p>
    <w:p>
      <w:pPr>
        <w:spacing w:after="20" w:before="0"/>
      </w:pPr>
      <w:r>
        <w:rPr>
          <w:b w:val="0"/>
          <w:i w:val="0"/>
          <w:sz w:val="21"/>
        </w:rPr>
        <w:t>(a)  Myocardial hypertrophy</w:t>
      </w:r>
    </w:p>
    <w:p>
      <w:pPr>
        <w:spacing w:after="20" w:before="0"/>
      </w:pPr>
      <w:r>
        <w:rPr>
          <w:b w:val="0"/>
          <w:i w:val="0"/>
          <w:sz w:val="21"/>
        </w:rPr>
        <w:t>(b)  Osteoporosis</w:t>
      </w:r>
    </w:p>
    <w:p>
      <w:pPr>
        <w:spacing w:after="20" w:before="0"/>
      </w:pPr>
      <w:r>
        <w:rPr>
          <w:b w:val="0"/>
          <w:i w:val="0"/>
          <w:sz w:val="21"/>
        </w:rPr>
        <w:t>(c)  Electrolyte imbalance</w:t>
      </w:r>
    </w:p>
    <w:p>
      <w:pPr>
        <w:spacing w:after="20" w:before="0"/>
      </w:pPr>
      <w:r>
        <w:rPr>
          <w:b w:val="0"/>
          <w:i w:val="0"/>
          <w:sz w:val="21"/>
        </w:rPr>
        <w:t>(d)  Menorrhagia</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Anorexia nervosa causes AMENORRHOEA (loss of menses from starvation/HPA suppression) — MENORRHAGIA (heavy bleeding) is therefore the exception. Anorexia also causes osteoporosis (hypoestrogenism, malnutrition), electrolyte imbalance (hypokalaemia, hyponatraemia) and cardiac changes (bradycardia; myocardial changes may include atrophy, and the paper lists hypertrophy as a feature).</w:t>
      </w:r>
    </w:p>
    <w:p>
      <w:pPr>
        <w:spacing w:after="20" w:before="0"/>
      </w:pPr>
      <w:r>
        <w:rPr>
          <w:b/>
        </w:rPr>
        <w:t xml:space="preserve">🔍 Key Clues: </w:t>
      </w:r>
      <w:r>
        <w:t>'Anorexia = amenorrhoea, osteoporosis, electrolytes — menorrhagia is the odd one'.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Cardiac changes (per the key: myocardial hypertrophy) occur in anorexia. | b — Osteoporosis from malnutrition/hypoestrogenism. | c — Electrolyte imbalance (hypokalaemia) is common.</w:t>
      </w:r>
    </w:p>
    <w:p>
      <w:pPr>
        <w:spacing w:after="20" w:before="0"/>
      </w:pPr>
      <w:r>
        <w:rPr>
          <w:b/>
          <w:color w:val="B45F06"/>
        </w:rPr>
        <w:t xml:space="preserve">⚠️ Exam Trap: </w:t>
      </w:r>
      <w:r>
        <w:t>Starvation switches OFF menses (amenorrhoea); heavy bleeding is the opposite finding.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Anorexia nervosa: amenorrhoea, osteoporosis, electrolyte imbalance, bradycardia.</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