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Which oil is harmful for coronary artery disease?</w:t>
      </w:r>
    </w:p>
    <w:p>
      <w:pPr>
        <w:spacing w:after="20" w:before="0"/>
      </w:pPr>
      <w:r>
        <w:rPr>
          <w:b w:val="0"/>
          <w:i w:val="0"/>
          <w:sz w:val="21"/>
        </w:rPr>
        <w:t>(a)  Coconut oil</w:t>
      </w:r>
    </w:p>
    <w:p>
      <w:pPr>
        <w:spacing w:after="20" w:before="0"/>
      </w:pPr>
      <w:r>
        <w:rPr>
          <w:b w:val="0"/>
          <w:i w:val="0"/>
          <w:sz w:val="21"/>
        </w:rPr>
        <w:t>(b)  Sunflower oil</w:t>
      </w:r>
    </w:p>
    <w:p>
      <w:pPr>
        <w:spacing w:after="20" w:before="0"/>
      </w:pPr>
      <w:r>
        <w:rPr>
          <w:b w:val="0"/>
          <w:i w:val="0"/>
          <w:sz w:val="21"/>
        </w:rPr>
        <w:t>(c)  Safflower oil</w:t>
      </w:r>
    </w:p>
    <w:p>
      <w:pPr>
        <w:spacing w:after="20" w:before="0"/>
      </w:pPr>
      <w:r>
        <w:rPr>
          <w:b w:val="0"/>
          <w:i w:val="0"/>
          <w:sz w:val="21"/>
        </w:rPr>
        <w:t>(d)  Olive oil</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COCONUT OIL is rich in saturated fat (about 90%), which raises LDL (bad) cholesterol and promotes atherosclerosis — the basis of coronary artery disease. Sunflower, safflower and olive oils are predominantly poly/mono-unsaturated and are cardioprotective (olive oil is the classic Mediterranean heart-healthy oil).</w:t>
      </w:r>
    </w:p>
    <w:p>
      <w:pPr>
        <w:spacing w:after="20" w:before="0"/>
      </w:pPr>
      <w:r>
        <w:rPr>
          <w:b/>
        </w:rPr>
        <w:t xml:space="preserve">🔍 Key Clues: </w:t>
      </w:r>
      <w:r>
        <w:t>Coconut oil = high saturated fat → harmful for coronary artery disease; olive oil = heart-healthy.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Sunflower oil is rich in polyunsaturated fat — heart-friendly. | c — Safflower oil is unsaturated — heart-friendly. | d — Olive oil is the classic cardioprotective (Mediterranean) oil.</w:t>
      </w:r>
    </w:p>
    <w:p>
      <w:pPr>
        <w:spacing w:after="20" w:before="0"/>
      </w:pPr>
      <w:r>
        <w:rPr>
          <w:b/>
          <w:color w:val="B45F06"/>
        </w:rPr>
        <w:t xml:space="preserve">⚠️ Exam Trap: </w:t>
      </w:r>
      <w:r>
        <w:t>Coconut oil is often marketed as healthy — but its high saturated fat content makes it the harmful one here.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Coconut oil = saturated fat (raises LDL); olive/sunflower/safflower = unsaturated (cardioprotective).</w:t>
      </w:r>
    </w:p>
    <w:p>
      <w:pPr>
        <w:spacing w:after="0" w:before="0"/>
      </w:pPr>
      <w:r>
        <w:rPr>
          <w:b/>
          <w:i w:val="0"/>
          <w:sz w:val="21"/>
        </w:rPr>
        <w:t>Positive Marks: 1    Negative Marks: 0.25</w:t>
      </w:r>
    </w:p>
    <w:p>
      <w:pPr>
        <w:spacing w:before="280" w:after="40"/>
      </w:pPr>
      <w:r>
        <w:rPr>
          <w:b/>
        </w:rPr>
        <w:t xml:space="preserve">Question: </w:t>
      </w:r>
      <w:r>
        <w:t>When performing a cardiovascular assessment, the nurse notes that patient needs to sit upright to breathe. This behavior is most indicative of:</w:t>
      </w:r>
    </w:p>
    <w:p>
      <w:pPr>
        <w:spacing w:after="20" w:before="0"/>
      </w:pPr>
      <w:r>
        <w:rPr>
          <w:b w:val="0"/>
          <w:i w:val="0"/>
          <w:sz w:val="21"/>
        </w:rPr>
        <w:t>(a)  Pericarditis</w:t>
      </w:r>
    </w:p>
    <w:p>
      <w:pPr>
        <w:spacing w:after="20" w:before="0"/>
      </w:pPr>
      <w:r>
        <w:rPr>
          <w:b w:val="0"/>
          <w:i w:val="0"/>
          <w:sz w:val="21"/>
        </w:rPr>
        <w:t>(b)  Anxiety</w:t>
      </w:r>
    </w:p>
    <w:p>
      <w:pPr>
        <w:spacing w:after="20" w:before="0"/>
      </w:pPr>
      <w:r>
        <w:rPr>
          <w:b w:val="0"/>
          <w:i w:val="0"/>
          <w:sz w:val="21"/>
        </w:rPr>
        <w:t>(c)  Congestive heart failure</w:t>
      </w:r>
    </w:p>
    <w:p>
      <w:pPr>
        <w:spacing w:after="20" w:before="0"/>
      </w:pPr>
      <w:r>
        <w:rPr>
          <w:b w:val="0"/>
          <w:i w:val="0"/>
          <w:sz w:val="21"/>
        </w:rPr>
        <w:t>(d)  Angina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ORTHOPNEA — the need to sit upright to breathe — is a classic sign of CONGESTIVE HEART FAILURE (left-sided failure): lying flat increases venous return and pulmonary congestion, so the patient feels breathless and must sit up (3 pillows or chair). Anxiety does not require sitting to breathe; pericarditis and angina do not classically cause orthopnea.</w:t>
      </w:r>
    </w:p>
    <w:p>
      <w:pPr>
        <w:spacing w:after="20" w:before="0"/>
      </w:pPr>
      <w:r>
        <w:rPr>
          <w:b/>
        </w:rPr>
        <w:t xml:space="preserve">🔍 Key Clues: </w:t>
      </w:r>
      <w:r>
        <w:t>Sitting upright to breathe (orthopnea) = CHF — pulmonary congestion relieved by gravity.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Pericarditis causes positional chest pain, not orthopnea. | b — Anxiety may cause breathlessness but not orthopnea. | d — Angina is chest pain with exertion/emotion.</w:t>
      </w:r>
    </w:p>
    <w:p>
      <w:pPr>
        <w:spacing w:after="20" w:before="0"/>
      </w:pPr>
      <w:r>
        <w:rPr>
          <w:b/>
          <w:color w:val="B45F06"/>
        </w:rPr>
        <w:t xml:space="preserve">⚠️ Exam Trap: </w:t>
      </w:r>
      <w:r>
        <w:t>Orthopnea + paroxysmal nocturnal dyspnea + edema = CHF. Ask about the number of pillows used.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Orthopnea = CHF (pulmonary congestion); lying flat worsens it, sitting relieves it.</w:t>
      </w:r>
    </w:p>
    <w:p>
      <w:pPr>
        <w:spacing w:after="0" w:before="0"/>
      </w:pPr>
      <w:r>
        <w:rPr>
          <w:b/>
          <w:i w:val="0"/>
          <w:sz w:val="21"/>
        </w:rPr>
        <w:t>Positive Marks: 1    Negative Marks: 0.25</w:t>
      </w:r>
    </w:p>
    <w:p>
      <w:pPr>
        <w:spacing w:before="280" w:after="40"/>
      </w:pPr>
      <w:r>
        <w:rPr>
          <w:b/>
        </w:rPr>
        <w:t xml:space="preserve">Question: </w:t>
      </w:r>
      <w:r>
        <w:t>The child with iron poisoning is given IV deferoxamine mesylate (Desferal). Following administration, the child suffers hypotension, facial flushing, and urticaria. The initial nursing intervention would be to:</w:t>
      </w:r>
    </w:p>
    <w:p>
      <w:pPr>
        <w:spacing w:after="20" w:before="0"/>
      </w:pPr>
      <w:r>
        <w:rPr>
          <w:b w:val="0"/>
          <w:i w:val="0"/>
          <w:sz w:val="21"/>
        </w:rPr>
        <w:t>(a)  Discontinue the IV</w:t>
      </w:r>
    </w:p>
    <w:p>
      <w:pPr>
        <w:spacing w:after="20" w:before="0"/>
      </w:pPr>
      <w:r>
        <w:rPr>
          <w:b w:val="0"/>
          <w:i w:val="0"/>
          <w:sz w:val="21"/>
        </w:rPr>
        <w:t>(b)  Stop the medication, and begin a normal saline infusion</w:t>
      </w:r>
    </w:p>
    <w:p>
      <w:pPr>
        <w:spacing w:after="20" w:before="0"/>
      </w:pPr>
      <w:r>
        <w:rPr>
          <w:b w:val="0"/>
          <w:i w:val="0"/>
          <w:sz w:val="21"/>
        </w:rPr>
        <w:t>(c)  Take all vital signs, and report to the physician</w:t>
      </w:r>
    </w:p>
    <w:p>
      <w:pPr>
        <w:spacing w:after="20" w:before="0"/>
      </w:pPr>
      <w:r>
        <w:rPr>
          <w:b w:val="0"/>
          <w:i w:val="0"/>
          <w:sz w:val="21"/>
        </w:rPr>
        <w:t>(d)  Assess urinary output, and if it is 30 mL an hour, maintain current treatment</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Hypotension, facial flushing and urticaria after IV deferoxamine indicate an ANAPHYLACTOID reaction. The initial action is to STOP the medication and begin a NORMAL SALINE infusion (to maintain blood pressure and flush the drug), then notify the physician and monitor vitals. Continuing or merely documenting the infusion is unsafe.</w:t>
      </w:r>
    </w:p>
    <w:p>
      <w:pPr>
        <w:spacing w:after="20" w:before="0"/>
      </w:pPr>
      <w:r>
        <w:rPr>
          <w:b/>
        </w:rPr>
        <w:t xml:space="preserve">🔍 Key Clues: </w:t>
      </w:r>
      <w:r>
        <w:t>IV deferoxamine + hypotension/flushing/urticaria = anaphylactoid → stop drug + NS infusion.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Discontinuing the IV alone is incomplete — fluid replacement is needed. | c — Vitals and reporting come after stopping the drug. | d — Urinary output assessment is not the initial priority in a reaction.</w:t>
      </w:r>
    </w:p>
    <w:p>
      <w:pPr>
        <w:spacing w:after="20" w:before="0"/>
      </w:pPr>
      <w:r>
        <w:rPr>
          <w:b/>
          <w:color w:val="B45F06"/>
        </w:rPr>
        <w:t xml:space="preserve">⚠️ Exam Trap: </w:t>
      </w:r>
      <w:r>
        <w:t>Anaphylactoid reactions are treated like anaphylaxis: stop the offending drug, give IV fluids, and prepare epinephrine.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Deferoxamine reaction → stop infusion + normal saline, then notify the physician.</w:t>
      </w:r>
    </w:p>
    <w:p>
      <w:pPr>
        <w:spacing w:after="0" w:before="0"/>
      </w:pPr>
      <w:r>
        <w:rPr>
          <w:b/>
          <w:i w:val="0"/>
          <w:sz w:val="21"/>
        </w:rPr>
        <w:t>Positive Marks: 1    Negative Marks: 0.25</w:t>
      </w:r>
    </w:p>
    <w:p>
      <w:pPr>
        <w:spacing w:before="280" w:after="40"/>
      </w:pPr>
      <w:r>
        <w:rPr>
          <w:b/>
        </w:rPr>
        <w:t xml:space="preserve">Question: </w:t>
      </w:r>
      <w:r>
        <w:t>Which of the following is the classical CSF finding seen in Tuberculous meningitis?</w:t>
      </w:r>
    </w:p>
    <w:p>
      <w:pPr>
        <w:spacing w:after="20" w:before="0"/>
      </w:pPr>
      <w:r>
        <w:rPr>
          <w:b w:val="0"/>
          <w:i w:val="0"/>
          <w:sz w:val="21"/>
        </w:rPr>
        <w:t>(a)  Increased protein, decreased sugar, increased lymphocytes</w:t>
      </w:r>
    </w:p>
    <w:p>
      <w:pPr>
        <w:spacing w:after="20" w:before="0"/>
      </w:pPr>
      <w:r>
        <w:rPr>
          <w:b w:val="0"/>
          <w:i w:val="0"/>
          <w:sz w:val="21"/>
        </w:rPr>
        <w:t>(b)  Increased protein, sugar and lymphocytes</w:t>
      </w:r>
    </w:p>
    <w:p>
      <w:pPr>
        <w:spacing w:after="20" w:before="0"/>
      </w:pPr>
      <w:r>
        <w:rPr>
          <w:b w:val="0"/>
          <w:i w:val="0"/>
          <w:sz w:val="21"/>
        </w:rPr>
        <w:t>(c)  Decreased protein, increased sugar and lymphocytes</w:t>
      </w:r>
    </w:p>
    <w:p>
      <w:pPr>
        <w:spacing w:after="20" w:before="0"/>
      </w:pPr>
      <w:r>
        <w:rPr>
          <w:b w:val="0"/>
          <w:i w:val="0"/>
          <w:sz w:val="21"/>
        </w:rPr>
        <w:t>(d)  Increased sugar, protein and neutrophils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TUBERCULOUS MENINGITIS classically shows INCREASED PROTEIN, DECREASED GLUCOSE (sugar) and LYMPHOCYTIC pleocytosis in the CSF. Pyogenic (bacterial) meningitis shows increased protein, decreased sugar and NEUTROPHILS; viral meningitis shows mild protein increase with normal sugar and lymphocytes.</w:t>
      </w:r>
    </w:p>
    <w:p>
      <w:pPr>
        <w:spacing w:after="20" w:before="0"/>
      </w:pPr>
      <w:r>
        <w:rPr>
          <w:b/>
        </w:rPr>
        <w:t xml:space="preserve">🔍 Key Clues: </w:t>
      </w:r>
      <w:r>
        <w:t>TB meningitis CSF: high protein + low sugar + lymphocytes ('lymphocytic with low sugar').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Sugar is decreased (not increased) in TB meningitis. | c — Protein is increased, not decreased. | d — Neutrophils with high sugar suggest pyogenic/viral patterns, not TB.</w:t>
      </w:r>
    </w:p>
    <w:p>
      <w:pPr>
        <w:spacing w:after="20" w:before="0"/>
      </w:pPr>
      <w:r>
        <w:rPr>
          <w:b/>
          <w:color w:val="B45F06"/>
        </w:rPr>
        <w:t xml:space="preserve">⚠️ Exam Trap: </w:t>
      </w:r>
      <w:r>
        <w:t>CSF ladder: TB = lymphocytes + low sugar; bacterial = neutrophils + low sugar; viral = lymphocytes + normal sugar.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TB meningitis CSF: ↑ protein, ↓ glucose, ↑ lymphocytes.</w:t>
      </w:r>
    </w:p>
    <w:p>
      <w:pPr>
        <w:spacing w:after="0" w:before="0"/>
      </w:pPr>
      <w:r>
        <w:rPr>
          <w:b/>
          <w:i w:val="0"/>
          <w:sz w:val="21"/>
        </w:rPr>
        <w:t>Positive Marks: 1    Negative Marks: 0.25</w:t>
      </w:r>
    </w:p>
    <w:p>
      <w:pPr>
        <w:spacing w:before="280" w:after="40"/>
      </w:pPr>
      <w:r>
        <w:rPr>
          <w:b/>
        </w:rPr>
        <w:t xml:space="preserve">Question: </w:t>
      </w:r>
      <w:r>
        <w:t>A patient is admitted in emergency with a suspected fracture of neck of femur. While assisting, the nurse will place the patient in which of the following position?</w:t>
      </w:r>
    </w:p>
    <w:p>
      <w:pPr>
        <w:spacing w:after="20" w:before="0"/>
      </w:pPr>
      <w:r>
        <w:rPr>
          <w:b w:val="0"/>
          <w:i w:val="0"/>
          <w:sz w:val="21"/>
        </w:rPr>
        <w:t>(a)  External rotation less than 45°.</w:t>
      </w:r>
    </w:p>
    <w:p>
      <w:pPr>
        <w:spacing w:after="20" w:before="0"/>
      </w:pPr>
      <w:r>
        <w:rPr>
          <w:b w:val="0"/>
          <w:i w:val="0"/>
          <w:sz w:val="21"/>
        </w:rPr>
        <w:t>(b)  External rotation more than 45°.</w:t>
      </w:r>
    </w:p>
    <w:p>
      <w:pPr>
        <w:spacing w:after="20" w:before="0"/>
      </w:pPr>
      <w:r>
        <w:rPr>
          <w:b w:val="0"/>
          <w:i w:val="0"/>
          <w:sz w:val="21"/>
        </w:rPr>
        <w:t>(c)  Internal rotation less than 45°.</w:t>
      </w:r>
    </w:p>
    <w:p>
      <w:pPr>
        <w:spacing w:after="20" w:before="0"/>
      </w:pPr>
      <w:r>
        <w:rPr>
          <w:b w:val="0"/>
          <w:i w:val="0"/>
          <w:sz w:val="21"/>
        </w:rPr>
        <w:t>(d)  Internal rotation more than 45°.</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fracture of the NECK OF FEMUR typically produces a leg that is SHORTENED and EXTERNALLY ROTATED (the unopposed pull of the external rotators turns the limb outward, usually to a mild degree). The paper key anchors external rotation of LESS than 45°. Internal rotation suggests a posterior hip dislocation instead.</w:t>
      </w:r>
    </w:p>
    <w:p>
      <w:pPr>
        <w:spacing w:after="20" w:before="0"/>
      </w:pPr>
      <w:r>
        <w:rPr>
          <w:b/>
        </w:rPr>
        <w:t xml:space="preserve">🔍 Key Clues: </w:t>
      </w:r>
      <w:r>
        <w:t>Fracture NOF = shortened + externally rotated limb (per the paper key, &lt; 45°).</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Marked external rotation (&gt; 45°) is not the typical keyed answer. | c — Internal rotation suggests posterior hip dislocation. | d — Internal rotation is not the NOF fracture posture.</w:t>
      </w:r>
    </w:p>
    <w:p>
      <w:pPr>
        <w:spacing w:after="20" w:before="0"/>
      </w:pPr>
      <w:r>
        <w:rPr>
          <w:b/>
          <w:color w:val="B45F06"/>
        </w:rPr>
        <w:t xml:space="preserve">⚠️ Exam Trap: </w:t>
      </w:r>
      <w:r>
        <w:t>Compare: NOF fracture = shortened + externally rotated; posterior hip dislocation = shortened + internally rotated + adducted.</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Fracture neck of femur: shortened, externally rotated limb; immobilise, avoid movement.</w:t>
      </w:r>
    </w:p>
    <w:p>
      <w:pPr>
        <w:spacing w:after="0" w:before="0"/>
      </w:pPr>
      <w:r>
        <w:rPr>
          <w:b/>
          <w:i w:val="0"/>
          <w:sz w:val="21"/>
        </w:rPr>
        <w:t>Positive Marks: 1    Negative Marks: 0.25</w:t>
      </w:r>
    </w:p>
    <w:p>
      <w:pPr>
        <w:spacing w:before="280" w:after="40"/>
      </w:pPr>
      <w:r>
        <w:rPr>
          <w:b/>
        </w:rPr>
        <w:t xml:space="preserve">Question: </w:t>
      </w:r>
      <w:r>
        <w:t>Patient develops type 2 respiratory failure. What could be the possible cause associated with it?</w:t>
      </w:r>
    </w:p>
    <w:p>
      <w:pPr>
        <w:spacing w:after="20" w:before="0"/>
      </w:pPr>
      <w:r>
        <w:rPr>
          <w:b w:val="0"/>
          <w:i w:val="0"/>
          <w:sz w:val="21"/>
        </w:rPr>
        <w:t>(a)  Interstitial lung disease</w:t>
      </w:r>
    </w:p>
    <w:p>
      <w:pPr>
        <w:spacing w:after="20" w:before="0"/>
      </w:pPr>
      <w:r>
        <w:rPr>
          <w:b w:val="0"/>
          <w:i w:val="0"/>
          <w:sz w:val="21"/>
        </w:rPr>
        <w:t>(b)  Flail chest</w:t>
      </w:r>
    </w:p>
    <w:p>
      <w:pPr>
        <w:spacing w:after="20" w:before="0"/>
      </w:pPr>
      <w:r>
        <w:rPr>
          <w:b w:val="0"/>
          <w:i w:val="0"/>
          <w:sz w:val="21"/>
        </w:rPr>
        <w:t>(c)  Pulmonary edema</w:t>
      </w:r>
    </w:p>
    <w:p>
      <w:pPr>
        <w:spacing w:after="20" w:before="0"/>
      </w:pPr>
      <w:r>
        <w:rPr>
          <w:b w:val="0"/>
          <w:i w:val="0"/>
          <w:sz w:val="21"/>
        </w:rPr>
        <w:t>(d)  ARDS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TYPE 2 respiratory failure is HYPERCAPNIC (raised PaCO2) — the lungs fail to VENTILATE adequately. FLAIL CHEST (paradoxical movement of a segment of the chest wall) and COPD, neuromuscular disease, opioid overdose and chest-wall trauma are causes of ventilatory (type 2) failure. Interstitial lung disease, pulmonary edema and ARDS cause type 1 (hypoxemic) failure.</w:t>
      </w:r>
    </w:p>
    <w:p>
      <w:pPr>
        <w:spacing w:after="20" w:before="0"/>
      </w:pPr>
      <w:r>
        <w:rPr>
          <w:b/>
        </w:rPr>
        <w:t xml:space="preserve">🔍 Key Clues: </w:t>
      </w:r>
      <w:r>
        <w:t>Type 2 (hypercapnic) failure = ventilation problem → flail chest; type 1 = oxygenation problem.</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ILD causes type 1 (hypoxemic) failure. | c — Pulmonary edema causes type 1 failure. | d — ARDS causes type 1 failure.</w:t>
      </w:r>
    </w:p>
    <w:p>
      <w:pPr>
        <w:spacing w:after="20" w:before="0"/>
      </w:pPr>
      <w:r>
        <w:rPr>
          <w:b/>
          <w:color w:val="B45F06"/>
        </w:rPr>
        <w:t xml:space="preserve">⚠️ Exam Trap: </w:t>
      </w:r>
      <w:r>
        <w:t>Type 1 = low O2 (oxygenation); Type 2 = high CO2 (ventilation). Match the cause to the type.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Type 2 (hypercapnic) failure: flail chest, COPD, neuromuscular disease, opioid overdose.</w:t>
      </w:r>
    </w:p>
    <w:p>
      <w:pPr>
        <w:spacing w:after="0" w:before="0"/>
      </w:pPr>
      <w:r>
        <w:rPr>
          <w:b/>
          <w:i w:val="0"/>
          <w:sz w:val="21"/>
        </w:rPr>
        <w:t>Positive Marks: 1    Negative Marks: 0.25</w:t>
      </w:r>
    </w:p>
    <w:p>
      <w:pPr>
        <w:spacing w:before="280" w:after="40"/>
      </w:pPr>
      <w:r>
        <w:rPr>
          <w:b/>
        </w:rPr>
        <w:t xml:space="preserve">Question: </w:t>
      </w:r>
      <w:r>
        <w:t>A client develops severe dyspnea after 100 meter of running. Using the mMRC Dyspnea scale, the client will be categorized into which grade to assess degree of baseline functional disability due to dyspnea?</w:t>
      </w:r>
    </w:p>
    <w:p>
      <w:pPr>
        <w:spacing w:after="20" w:before="0"/>
      </w:pPr>
      <w:r>
        <w:rPr>
          <w:b w:val="0"/>
          <w:i w:val="0"/>
          <w:sz w:val="21"/>
        </w:rPr>
        <w:t>(a)  Grade 0</w:t>
      </w:r>
    </w:p>
    <w:p>
      <w:pPr>
        <w:spacing w:after="20" w:before="0"/>
      </w:pPr>
      <w:r>
        <w:rPr>
          <w:b w:val="0"/>
          <w:i w:val="0"/>
          <w:sz w:val="21"/>
        </w:rPr>
        <w:t>(b)  Grade 1</w:t>
      </w:r>
    </w:p>
    <w:p>
      <w:pPr>
        <w:spacing w:after="20" w:before="0"/>
      </w:pPr>
      <w:r>
        <w:rPr>
          <w:b w:val="0"/>
          <w:i w:val="0"/>
          <w:sz w:val="21"/>
        </w:rPr>
        <w:t>(c)  Grade 2</w:t>
      </w:r>
    </w:p>
    <w:p>
      <w:pPr>
        <w:spacing w:after="20" w:before="0"/>
      </w:pPr>
      <w:r>
        <w:rPr>
          <w:b w:val="0"/>
          <w:i w:val="0"/>
          <w:sz w:val="21"/>
        </w:rPr>
        <w:t>(d)  Grade 3</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mMRC (modified Medical Research Council) scale grades breathlessness against level-ground WALKING: Grade 0 = breathless only with strenuous exercise (like running). Because the dyspnea occurs only after RUNNING (a strenuous activity) and not on ordinary walking, the client is GRADE 0 per the paper key. Grade 3 would require stopping for breath after walking ~100 m on level ground.</w:t>
      </w:r>
    </w:p>
    <w:p>
      <w:pPr>
        <w:spacing w:after="20" w:before="0"/>
      </w:pPr>
      <w:r>
        <w:rPr>
          <w:b/>
        </w:rPr>
        <w:t xml:space="preserve">🔍 Key Clues: </w:t>
      </w:r>
      <w:r>
        <w:t>mMRC Grade 0 = breathless only on strenuous exercise (running); Grade 3 = stops after 100 m of level walking.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Grade 1 = breathless when hurrying on level ground/up a slight hill. | c — Grade 2 = walks slower than peers due to breathlessness. | d — Grade 3 = stops for breath after ~100 m of level WALKING.</w:t>
      </w:r>
    </w:p>
    <w:p>
      <w:pPr>
        <w:spacing w:after="20" w:before="0"/>
      </w:pPr>
      <w:r>
        <w:rPr>
          <w:b/>
          <w:color w:val="B45F06"/>
        </w:rPr>
        <w:t xml:space="preserve">⚠️ Exam Trap: </w:t>
      </w:r>
      <w:r>
        <w:t>Don't confuse running 100 m with walking 100 m — the grade is based on level-ground walking, so running-only dyspnea is Grade 0.</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mMRC: Grade 0 = strenuous exercise only; Grade 3 = stops after ~100 m walking; Grade 4 = housebound.</w:t>
      </w:r>
    </w:p>
    <w:p>
      <w:pPr>
        <w:spacing w:after="0" w:before="0"/>
      </w:pPr>
      <w:r>
        <w:rPr>
          <w:b/>
          <w:i w:val="0"/>
          <w:sz w:val="21"/>
        </w:rPr>
        <w:t>Positive Marks: 1    Negative Marks: 0.25</w:t>
      </w:r>
    </w:p>
    <w:p>
      <w:pPr>
        <w:spacing w:before="280" w:after="40"/>
      </w:pPr>
      <w:r>
        <w:rPr>
          <w:b/>
        </w:rPr>
        <w:t xml:space="preserve">Question: </w:t>
      </w:r>
      <w:r>
        <w:t>You have to assess the blood sugar level of your patient by using glucometer. The appropriate nursing action from the following is:</w:t>
      </w:r>
    </w:p>
    <w:p>
      <w:pPr>
        <w:spacing w:after="20" w:before="0"/>
      </w:pPr>
      <w:r>
        <w:rPr>
          <w:b w:val="0"/>
          <w:i w:val="0"/>
          <w:sz w:val="21"/>
        </w:rPr>
        <w:t>(a)  Do not clean the site with alcohol swab</w:t>
      </w:r>
    </w:p>
    <w:p>
      <w:pPr>
        <w:spacing w:after="20" w:before="0"/>
      </w:pPr>
      <w:r>
        <w:rPr>
          <w:b w:val="0"/>
          <w:i w:val="0"/>
          <w:sz w:val="21"/>
        </w:rPr>
        <w:t>(b)  Check blood glucose level twice to obtain accurate reading</w:t>
      </w:r>
    </w:p>
    <w:p>
      <w:pPr>
        <w:spacing w:after="20" w:before="0"/>
      </w:pPr>
      <w:r>
        <w:rPr>
          <w:b w:val="0"/>
          <w:i w:val="0"/>
          <w:sz w:val="21"/>
        </w:rPr>
        <w:t>(c)  Wipe the first drop of blood and use second to measure the reading</w:t>
      </w:r>
    </w:p>
    <w:p>
      <w:pPr>
        <w:spacing w:after="20" w:before="0"/>
      </w:pPr>
      <w:r>
        <w:rPr>
          <w:b w:val="0"/>
          <w:i w:val="0"/>
          <w:sz w:val="21"/>
        </w:rPr>
        <w:t>(d)  First prick the finger and then connect the glucometer strip into the device.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classic blood-glucose testing technique (as keyed in this paper): clean the site, allow it to dry, prick the side of the finger, WIPE AWAY the FIRST drop of blood and apply the SECOND drop to the strip (avoiding tissue-fluid contamination). The strip should be inserted into the meter before or immediately after pricking — not the reverse sequence listed in (d).</w:t>
      </w:r>
    </w:p>
    <w:p>
      <w:pPr>
        <w:spacing w:after="20" w:before="0"/>
      </w:pPr>
      <w:r>
        <w:rPr>
          <w:b/>
        </w:rPr>
        <w:t xml:space="preserve">🔍 Key Clues: </w:t>
      </w:r>
      <w:r>
        <w:t>Glucometer technique: dry site → side of fingertip prick → wipe first drop → test the second drop.</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The site SHOULD be cleaned (and dried) before pricking. | b — Repeating the test is not the standard single-reading technique. | d — Insert the strip into the meter as directed — the listed sequence is the wrong order.</w:t>
      </w:r>
    </w:p>
    <w:p>
      <w:pPr>
        <w:spacing w:after="20" w:before="0"/>
      </w:pPr>
      <w:r>
        <w:rPr>
          <w:b/>
          <w:color w:val="B45F06"/>
        </w:rPr>
        <w:t xml:space="preserve">⚠️ Exam Trap: </w:t>
      </w:r>
      <w:r>
        <w:t>Alcohol must be allowed to dry fully — wet alcohol contaminates the sample and lowers the reading.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Fingerstick: clean &amp; dry site, prick side of finger, wipe first drop, test second drop.</w:t>
      </w:r>
    </w:p>
    <w:p>
      <w:pPr>
        <w:spacing w:after="0" w:before="0"/>
      </w:pPr>
      <w:r>
        <w:rPr>
          <w:b/>
          <w:i w:val="0"/>
          <w:sz w:val="21"/>
        </w:rPr>
        <w:t>Positive Marks: 1    Negative Marks: 0.25</w:t>
      </w:r>
    </w:p>
    <w:p>
      <w:pPr>
        <w:spacing w:before="280" w:after="40"/>
      </w:pPr>
      <w:r>
        <w:rPr>
          <w:b/>
        </w:rPr>
        <w:t xml:space="preserve">Question: </w:t>
      </w:r>
      <w:r>
        <w:t>Polyuria is the characteristic feature of all of the following; except:</w:t>
      </w:r>
    </w:p>
    <w:p>
      <w:pPr>
        <w:spacing w:after="20" w:before="0"/>
      </w:pPr>
      <w:r>
        <w:rPr>
          <w:b w:val="0"/>
          <w:i w:val="0"/>
          <w:sz w:val="21"/>
        </w:rPr>
        <w:t>(a)  Diabetes mellitus</w:t>
      </w:r>
    </w:p>
    <w:p>
      <w:pPr>
        <w:spacing w:after="20" w:before="0"/>
      </w:pPr>
      <w:r>
        <w:rPr>
          <w:b w:val="0"/>
          <w:i w:val="0"/>
          <w:sz w:val="21"/>
        </w:rPr>
        <w:t>(b)  Diabetes insipidus</w:t>
      </w:r>
    </w:p>
    <w:p>
      <w:pPr>
        <w:spacing w:after="20" w:before="0"/>
      </w:pPr>
      <w:r>
        <w:rPr>
          <w:b w:val="0"/>
          <w:i w:val="0"/>
          <w:sz w:val="21"/>
        </w:rPr>
        <w:t>(c)  Glomerulonephritis</w:t>
      </w:r>
    </w:p>
    <w:p>
      <w:pPr>
        <w:spacing w:after="20" w:before="0"/>
      </w:pPr>
      <w:r>
        <w:rPr>
          <w:b w:val="0"/>
          <w:i w:val="0"/>
          <w:sz w:val="21"/>
        </w:rPr>
        <w:t>(d)  Chronic renal failure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POLYURIA (excessive urine output) occurs in DIABETES MELLITUS (osmotic diuresis from glycosuria), DIABETES INSIPIDUS (ADH deficiency/resistance) and CHRONIC RENAL FAILURE (impaired concentrating ability with polyuria in the early phase). GLOMERULONEPHRITIS causes OLIGURIA, hematuria, proteinuria and edema — not polyuria.</w:t>
      </w:r>
    </w:p>
    <w:p>
      <w:pPr>
        <w:spacing w:after="20" w:before="0"/>
      </w:pPr>
      <w:r>
        <w:rPr>
          <w:b/>
        </w:rPr>
        <w:t xml:space="preserve">🔍 Key Clues: </w:t>
      </w:r>
      <w:r>
        <w:t>Polyuria = DM, DI, CRF; glomerulonephritis = oliguria + hematuria + edema.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DM causes osmotic polyuria (glycosuria). | b — DI causes dilute polyuria (ADH problem). | d — CRF (early) causes polyuria with poor concentration.</w:t>
      </w:r>
    </w:p>
    <w:p>
      <w:pPr>
        <w:spacing w:after="20" w:before="0"/>
      </w:pPr>
      <w:r>
        <w:rPr>
          <w:b/>
          <w:color w:val="B45F06"/>
        </w:rPr>
        <w:t xml:space="preserve">⚠️ Exam Trap: </w:t>
      </w:r>
      <w:r>
        <w:t>Polyuria vs oliguria: nephrotic/glomerular disease = oliguria; diabetes/DI/CRF = polyuria.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Polyuria: DM, DI, CRF; oliguria: glomerulonephritis, acute renal failure, obstruction.</w:t>
      </w:r>
    </w:p>
    <w:p>
      <w:pPr>
        <w:spacing w:after="0" w:before="0"/>
      </w:pPr>
      <w:r>
        <w:rPr>
          <w:b/>
          <w:i w:val="0"/>
          <w:sz w:val="21"/>
        </w:rPr>
        <w:t>Positive Marks: 1    Negative Marks: 0.25</w:t>
      </w:r>
    </w:p>
    <w:p>
      <w:pPr>
        <w:spacing w:before="280" w:after="40"/>
      </w:pPr>
      <w:r>
        <w:rPr>
          <w:b/>
        </w:rPr>
        <w:t xml:space="preserve">Question: </w:t>
      </w:r>
      <w:r>
        <w:t>How much Energy (Kcal) is provided by 500 mL of 5% Dextrose?</w:t>
      </w:r>
    </w:p>
    <w:p>
      <w:pPr>
        <w:spacing w:after="20" w:before="0"/>
      </w:pPr>
      <w:r>
        <w:rPr>
          <w:b w:val="0"/>
          <w:i w:val="0"/>
          <w:sz w:val="21"/>
        </w:rPr>
        <w:t>(a)  50 Kcal</w:t>
      </w:r>
    </w:p>
    <w:p>
      <w:pPr>
        <w:spacing w:after="20" w:before="0"/>
      </w:pPr>
      <w:r>
        <w:rPr>
          <w:b w:val="0"/>
          <w:i w:val="0"/>
          <w:sz w:val="21"/>
        </w:rPr>
        <w:t>(b)  100 Kcal</w:t>
      </w:r>
    </w:p>
    <w:p>
      <w:pPr>
        <w:spacing w:after="20" w:before="0"/>
      </w:pPr>
      <w:r>
        <w:rPr>
          <w:b w:val="0"/>
          <w:i w:val="0"/>
          <w:sz w:val="21"/>
        </w:rPr>
        <w:t>(c)  150 Kcal</w:t>
      </w:r>
    </w:p>
    <w:p>
      <w:pPr>
        <w:spacing w:after="20" w:before="0"/>
      </w:pPr>
      <w:r>
        <w:rPr>
          <w:b w:val="0"/>
          <w:i w:val="0"/>
          <w:sz w:val="21"/>
        </w:rPr>
        <w:t>(d)  200 Kcal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5% Dextrose contains 50 g of glucose per litre. In 500 mL there is 25 g of glucose. Carbohydrate yields about 4 kcal/g: 25 g × 4 = 100 KCAL. (Some texts use 3.4 kcal/g for dextrose monohydrate ≈ 85 kcal, but the exam keys the rounded 100 kcal.)</w:t>
      </w:r>
    </w:p>
    <w:p>
      <w:pPr>
        <w:spacing w:after="20" w:before="0"/>
      </w:pPr>
      <w:r>
        <w:rPr>
          <w:b/>
        </w:rPr>
        <w:t xml:space="preserve">🔍 Key Clues: </w:t>
      </w:r>
      <w:r>
        <w:t>500 mL of 5% D = 25 g glucose × 4 kcal/g = 100 kcal.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50 kcal would be 12.5 g glucose. | c — 150 kcal would be 37.5 g glucose. | d — 200 kcal would be 50 g glucose (a full litre).</w:t>
      </w:r>
    </w:p>
    <w:p>
      <w:pPr>
        <w:spacing w:after="20" w:before="0"/>
      </w:pPr>
      <w:r>
        <w:rPr>
          <w:b/>
          <w:color w:val="B45F06"/>
        </w:rPr>
        <w:t xml:space="preserve">⚠️ Exam Trap: </w:t>
      </w:r>
      <w:r>
        <w:t>Read the volume: 500 mL (half a litre) of 5% dextrose = 25 g of glucose, not 50 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5% dextrose = 50 g/L; 500 mL = 25 g = ~100 kcal.</w:t>
      </w:r>
    </w:p>
    <w:p>
      <w:pPr>
        <w:spacing w:after="0" w:before="0"/>
      </w:pPr>
      <w:r>
        <w:rPr>
          <w:b/>
          <w:i w:val="0"/>
          <w:sz w:val="21"/>
        </w:rPr>
        <w:t>Positive Marks: 1    Negative Marks: 0.25</w:t>
      </w:r>
    </w:p>
    <w:p>
      <w:pPr>
        <w:spacing w:before="280" w:after="40"/>
      </w:pPr>
      <w:r>
        <w:rPr>
          <w:b/>
        </w:rPr>
        <w:t xml:space="preserve">Question: </w:t>
      </w:r>
      <w:r>
        <w:t>Osmolarity of plasma in normal adult is:</w:t>
      </w:r>
    </w:p>
    <w:p>
      <w:pPr>
        <w:spacing w:after="20" w:before="0"/>
      </w:pPr>
      <w:r>
        <w:rPr>
          <w:b w:val="0"/>
          <w:i w:val="0"/>
          <w:sz w:val="21"/>
        </w:rPr>
        <w:t>(a)  260-270 mOsm/L</w:t>
      </w:r>
    </w:p>
    <w:p>
      <w:pPr>
        <w:spacing w:after="20" w:before="0"/>
      </w:pPr>
      <w:r>
        <w:rPr>
          <w:b w:val="0"/>
          <w:i w:val="0"/>
          <w:sz w:val="21"/>
        </w:rPr>
        <w:t>(b)  320-330 mOsm/L</w:t>
      </w:r>
    </w:p>
    <w:p>
      <w:pPr>
        <w:spacing w:after="20" w:before="0"/>
      </w:pPr>
      <w:r>
        <w:rPr>
          <w:b w:val="0"/>
          <w:i w:val="0"/>
          <w:sz w:val="21"/>
        </w:rPr>
        <w:t>(c)  280-290 mOsm/L</w:t>
      </w:r>
    </w:p>
    <w:p>
      <w:pPr>
        <w:spacing w:after="20" w:before="0"/>
      </w:pPr>
      <w:r>
        <w:rPr>
          <w:b w:val="0"/>
          <w:i w:val="0"/>
          <w:sz w:val="21"/>
        </w:rPr>
        <w:t>(d)  300-310 mOsm/L</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Normal plasma OSMOLARITY is 275–295 mOsm/L, with the commonly quoted textbook range 280–290 mOsm/L. It is mainly contributed by sodium (and its anions), glucose and urea. Values above ~310 suggest hyperosmolar states (DKA/HHS); below ~270 suggest dilutional hyponatremia.</w:t>
      </w:r>
    </w:p>
    <w:p>
      <w:pPr>
        <w:spacing w:after="20" w:before="0"/>
      </w:pPr>
      <w:r>
        <w:rPr>
          <w:b/>
        </w:rPr>
        <w:t xml:space="preserve">🔍 Key Clues: </w:t>
      </w:r>
      <w:r>
        <w:t>Normal plasma osmolarity = 275-295 mOsm/L (280-290 in the textbook range).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260-270 mOsm/L is below normal (hypo-osmolar). | b — 320-330 mOsm/L is hyperosmolar. | d — 300-310 mOsm/L is above the normal range.</w:t>
      </w:r>
    </w:p>
    <w:p>
      <w:pPr>
        <w:spacing w:after="20" w:before="0"/>
      </w:pPr>
      <w:r>
        <w:rPr>
          <w:b/>
          <w:color w:val="B45F06"/>
        </w:rPr>
        <w:t xml:space="preserve">⚠️ Exam Trap: </w:t>
      </w:r>
      <w:r>
        <w:t>Osmolarity (measured) vs osmolality: values are nearly equal; normal ~280-290 mOsm/kg.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Plasma osmolarity normal = 280-290 mOsm/L (275-295).</w:t>
      </w:r>
    </w:p>
    <w:p>
      <w:pPr>
        <w:spacing w:after="0" w:before="0"/>
      </w:pPr>
      <w:r>
        <w:rPr>
          <w:b/>
          <w:i w:val="0"/>
          <w:sz w:val="21"/>
        </w:rPr>
        <w:t>Positive Marks: 1    Negative Marks: 0.25</w:t>
      </w:r>
    </w:p>
    <w:p>
      <w:pPr>
        <w:spacing w:before="280" w:after="40"/>
      </w:pPr>
      <w:r>
        <w:rPr>
          <w:b/>
        </w:rPr>
        <w:t xml:space="preserve">Question: </w:t>
      </w:r>
      <w:r>
        <w:t>What is the diagnostic test for enteric fever in 2nd week?</w:t>
      </w:r>
    </w:p>
    <w:p>
      <w:pPr>
        <w:spacing w:after="20" w:before="0"/>
      </w:pPr>
      <w:r>
        <w:rPr>
          <w:b w:val="0"/>
          <w:i w:val="0"/>
          <w:sz w:val="21"/>
        </w:rPr>
        <w:t>(a)  Widal test</w:t>
      </w:r>
    </w:p>
    <w:p>
      <w:pPr>
        <w:spacing w:after="20" w:before="0"/>
      </w:pPr>
      <w:r>
        <w:rPr>
          <w:b w:val="0"/>
          <w:i w:val="0"/>
          <w:sz w:val="21"/>
        </w:rPr>
        <w:t>(b)  Blood culture</w:t>
      </w:r>
    </w:p>
    <w:p>
      <w:pPr>
        <w:spacing w:after="20" w:before="0"/>
      </w:pPr>
      <w:r>
        <w:rPr>
          <w:b w:val="0"/>
          <w:i w:val="0"/>
          <w:sz w:val="21"/>
        </w:rPr>
        <w:t>(c)  Stool test</w:t>
      </w:r>
    </w:p>
    <w:p>
      <w:pPr>
        <w:spacing w:after="20" w:before="0"/>
      </w:pPr>
      <w:r>
        <w:rPr>
          <w:b w:val="0"/>
          <w:i w:val="0"/>
          <w:sz w:val="21"/>
        </w:rPr>
        <w:t>(d)  Sputum test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 ENTERIC FEVER (typhoid), the WIDAL TEST (agglutination of O and H antibodies) becomes positive from the SECOND WEEK onward as antibodies appear. BLOOD CULTURE is positive in the FIRST week (bacteremia); stool and urine cultures become positive from the second to third week.</w:t>
      </w:r>
    </w:p>
    <w:p>
      <w:pPr>
        <w:spacing w:after="20" w:before="0"/>
      </w:pPr>
      <w:r>
        <w:rPr>
          <w:b/>
        </w:rPr>
        <w:t xml:space="preserve">🔍 Key Clues: </w:t>
      </w:r>
      <w:r>
        <w:t>Enteric fever: blood culture = 1st week; Widal test = 2nd week; stool culture = 2nd-3rd week.</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Blood culture is the 1st-week test (bacteremia). | c — Stool culture is positive from the 2nd-3rd week. | d — Sputum is not used for typhoid diagnosis.</w:t>
      </w:r>
    </w:p>
    <w:p>
      <w:pPr>
        <w:spacing w:after="20" w:before="0"/>
      </w:pPr>
      <w:r>
        <w:rPr>
          <w:b/>
          <w:color w:val="B45F06"/>
        </w:rPr>
        <w:t xml:space="preserve">⚠️ Exam Trap: </w:t>
      </w:r>
      <w:r>
        <w:t>Week-based testing: 1st week = blood culture; 2nd week = Widal; 3rd week = stool/urine culture.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Typhoid: Widal positive from 2nd week; blood culture positive in 1st week.</w:t>
      </w:r>
    </w:p>
    <w:p>
      <w:pPr>
        <w:spacing w:after="0" w:before="0"/>
      </w:pPr>
      <w:r>
        <w:rPr>
          <w:b/>
          <w:i w:val="0"/>
          <w:sz w:val="21"/>
        </w:rPr>
        <w:t>Positive Marks: 1    Negative Marks: 0.25</w:t>
      </w:r>
    </w:p>
    <w:p>
      <w:pPr>
        <w:spacing w:before="280" w:after="40"/>
      </w:pPr>
      <w:r>
        <w:rPr>
          <w:b/>
        </w:rPr>
        <w:t xml:space="preserve">Question: </w:t>
      </w:r>
      <w:r>
        <w:t>All of the following can be seen in dengue hemorrhagic fever; except:</w:t>
      </w:r>
    </w:p>
    <w:p>
      <w:pPr>
        <w:spacing w:after="20" w:before="0"/>
      </w:pPr>
      <w:r>
        <w:rPr>
          <w:b w:val="0"/>
          <w:i w:val="0"/>
          <w:sz w:val="21"/>
        </w:rPr>
        <w:t>(a)  Fever</w:t>
      </w:r>
    </w:p>
    <w:p>
      <w:pPr>
        <w:spacing w:after="20" w:before="0"/>
      </w:pPr>
      <w:r>
        <w:rPr>
          <w:b w:val="0"/>
          <w:i w:val="0"/>
          <w:sz w:val="21"/>
        </w:rPr>
        <w:t>(b)  Thrombocytopenia</w:t>
      </w:r>
    </w:p>
    <w:p>
      <w:pPr>
        <w:spacing w:after="20" w:before="0"/>
      </w:pPr>
      <w:r>
        <w:rPr>
          <w:b w:val="0"/>
          <w:i w:val="0"/>
          <w:sz w:val="21"/>
        </w:rPr>
        <w:t>(c)  Leukocytosis</w:t>
      </w:r>
    </w:p>
    <w:p>
      <w:pPr>
        <w:spacing w:after="20" w:before="0"/>
      </w:pPr>
      <w:r>
        <w:rPr>
          <w:b w:val="0"/>
          <w:i w:val="0"/>
          <w:sz w:val="21"/>
        </w:rPr>
        <w:t>(d)  Increased hematocrit count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DENGUE HEMORRHAGIC FEVER shows fever, THROMBOCYTOPENIA and hemoconcentration (INCREASED HEMATOCRIT from plasma leakage). LEUKOPENIA — not leukocytosis — is the typical finding (neutropenia with relative lymphocytosis); a rising leukocyte count is not characteristic of DHF.</w:t>
      </w:r>
    </w:p>
    <w:p>
      <w:pPr>
        <w:spacing w:after="20" w:before="0"/>
      </w:pPr>
      <w:r>
        <w:rPr>
          <w:b/>
        </w:rPr>
        <w:t xml:space="preserve">🔍 Key Clues: </w:t>
      </w:r>
      <w:r>
        <w:t>DHF: fever + thrombocytopenia + ↑ hematocrit + leukOPENIA (not leukocytosis).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Fever is the presenting feature of dengue. | b — Thrombocytopenia is a hallmark (platelets &lt; 100,000). | d — Hemoconcentration (↑ hematocrit) marks plasma leakage.</w:t>
      </w:r>
    </w:p>
    <w:p>
      <w:pPr>
        <w:spacing w:after="20" w:before="0"/>
      </w:pPr>
      <w:r>
        <w:rPr>
          <w:b/>
          <w:color w:val="B45F06"/>
        </w:rPr>
        <w:t xml:space="preserve">⚠️ Exam Trap: </w:t>
      </w:r>
      <w:r>
        <w:t>Dengue = leukOPENIA + thrombocytopenia + hemoconcentration; watch the "except" and the cell-count direction.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DHF triad: fever, thrombocytopenia, hemoconcentration (↑ Hct) with leukopenia.</w:t>
      </w:r>
    </w:p>
    <w:p>
      <w:pPr>
        <w:spacing w:after="0" w:before="0"/>
      </w:pPr>
      <w:r>
        <w:rPr>
          <w:b/>
          <w:i w:val="0"/>
          <w:sz w:val="21"/>
        </w:rPr>
        <w:t>Positive Marks: 1    Negative Marks: 0.25</w:t>
      </w:r>
    </w:p>
    <w:p>
      <w:pPr>
        <w:spacing w:before="280" w:after="40"/>
      </w:pPr>
      <w:r>
        <w:rPr>
          <w:b/>
        </w:rPr>
        <w:t xml:space="preserve">Question: </w:t>
      </w:r>
      <w:r>
        <w:t>While providing care to a 5-year-old child, the nurse noticed that the patient is experiencing seizures. Select the priority nursing intervention during seizure.</w:t>
      </w:r>
    </w:p>
    <w:p>
      <w:pPr>
        <w:spacing w:after="20" w:before="0"/>
      </w:pPr>
      <w:r>
        <w:rPr>
          <w:b w:val="0"/>
          <w:i w:val="0"/>
          <w:sz w:val="21"/>
        </w:rPr>
        <w:t>(a)  Maintain the patient in lying position, flat surface: turn head to side during seizure activity, give IV midazolam in appropriate dose and begin infusion of IV anticonvulsant</w:t>
      </w:r>
    </w:p>
    <w:p>
      <w:pPr>
        <w:spacing w:after="20" w:before="0"/>
      </w:pPr>
      <w:r>
        <w:rPr>
          <w:b w:val="0"/>
          <w:i w:val="0"/>
          <w:sz w:val="21"/>
        </w:rPr>
        <w:t>(b)  Maintain the patient in supine position, give supplemental oxygen, and start IV midazolam in an appropriate dose</w:t>
      </w:r>
    </w:p>
    <w:p>
      <w:pPr>
        <w:spacing w:after="20" w:before="0"/>
      </w:pPr>
      <w:r>
        <w:rPr>
          <w:b w:val="0"/>
          <w:i w:val="0"/>
          <w:sz w:val="21"/>
        </w:rPr>
        <w:t>(c)  Maintain the patient in lying position, flat surface; turn head to side during seizure activity; loosen clothing from neck or chest and abdominal areas; suction as needed; supervise supplemental oxygen or bag ventilation</w:t>
      </w:r>
    </w:p>
    <w:p>
      <w:pPr>
        <w:spacing w:after="20" w:before="0"/>
      </w:pPr>
      <w:r>
        <w:rPr>
          <w:b w:val="0"/>
          <w:i w:val="0"/>
          <w:sz w:val="21"/>
        </w:rPr>
        <w:t>(d)  Maintain the patient in supine position, flat surface; turn head to side during seizure activity, provide supplemental oxygen and inform the doctor on duty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During a SEIZURE the priority is airway and safety: lie the child flat on a padded surface, turn the head to the side, LOOSEN tight clothing (neck/chest/abdomen), SUCTION secretions as needed and supervise oxygen or bag ventilation. Intravenous drugs are given when the seizure does not stop (status epilepticus protocol), not as the immediate "during-seizure" action.</w:t>
      </w:r>
    </w:p>
    <w:p>
      <w:pPr>
        <w:spacing w:after="20" w:before="0"/>
      </w:pPr>
      <w:r>
        <w:rPr>
          <w:b/>
        </w:rPr>
        <w:t xml:space="preserve">🔍 Key Clues: </w:t>
      </w:r>
      <w:r>
        <w:t>During seizure: protect airway (head to side, loosen clothing, suction) — drugs are for prolonged seizures.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IV anticonvulsants are for prolonged/status seizures, not the first during-seizure action. | b — Supine position and immediate IV midazolam are not the priority protective actions. | d — Supine and "inform doctor" omit the protective airway measures.</w:t>
      </w:r>
    </w:p>
    <w:p>
      <w:pPr>
        <w:spacing w:after="20" w:before="0"/>
      </w:pPr>
      <w:r>
        <w:rPr>
          <w:b/>
          <w:color w:val="B45F06"/>
        </w:rPr>
        <w:t xml:space="preserve">⚠️ Exam Trap: </w:t>
      </w:r>
      <w:r>
        <w:t>During a seizure: protect, do not restrain, do not put anything in the mouth — ABC and safety first.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Seizure care: flat surface, head to side, loosen clothing, suction PRN, supervise oxygen.</w:t>
      </w:r>
    </w:p>
    <w:p>
      <w:pPr>
        <w:spacing w:after="0" w:before="0"/>
      </w:pPr>
      <w:r>
        <w:rPr>
          <w:b/>
          <w:i w:val="0"/>
          <w:sz w:val="21"/>
        </w:rPr>
        <w:t>Positive Marks: 1    Negative Marks: 0.25</w:t>
      </w:r>
    </w:p>
    <w:p>
      <w:pPr>
        <w:spacing w:before="280" w:after="40"/>
      </w:pPr>
      <w:r>
        <w:rPr>
          <w:b/>
        </w:rPr>
        <w:t xml:space="preserve">Question: </w:t>
      </w:r>
      <w:r>
        <w:t>The nurse finds out the Serum potassium level of his patient is 6.5 mEq/L. Which changes on a patient’s electrocardiogram (ECG) reflect hyperkalemia?</w:t>
      </w:r>
    </w:p>
    <w:p>
      <w:pPr>
        <w:spacing w:after="20" w:before="0"/>
      </w:pPr>
      <w:r>
        <w:rPr>
          <w:b w:val="0"/>
          <w:i w:val="0"/>
          <w:sz w:val="21"/>
        </w:rPr>
        <w:t>(a)  Tall peaked T waves</w:t>
      </w:r>
    </w:p>
    <w:p>
      <w:pPr>
        <w:spacing w:after="20" w:before="0"/>
      </w:pPr>
      <w:r>
        <w:rPr>
          <w:b w:val="0"/>
          <w:i w:val="0"/>
          <w:sz w:val="21"/>
        </w:rPr>
        <w:t>(b)  Narrow QRS complex</w:t>
      </w:r>
    </w:p>
    <w:p>
      <w:pPr>
        <w:spacing w:after="20" w:before="0"/>
      </w:pPr>
      <w:r>
        <w:rPr>
          <w:b w:val="0"/>
          <w:i w:val="0"/>
          <w:sz w:val="21"/>
        </w:rPr>
        <w:t>(c)  Tall P waves</w:t>
      </w:r>
    </w:p>
    <w:p>
      <w:pPr>
        <w:spacing w:after="20" w:before="0"/>
      </w:pPr>
      <w:r>
        <w:rPr>
          <w:b w:val="0"/>
          <w:i w:val="0"/>
          <w:sz w:val="21"/>
        </w:rPr>
        <w:t>(d)  Normal P-R interval</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HYPERKALEMIA (K+ &gt; 5.5 mEq/L) classically shows TALL PEAKED (tented) T WAVES first, then widening of the QRS, loss of P waves and sine-wave pattern in severe cases — leading to ventricular fibrillation/arrest. Narrow QRS, tall P waves and a normal PR interval are not hyperkalemic changes.</w:t>
      </w:r>
    </w:p>
    <w:p>
      <w:pPr>
        <w:spacing w:after="20" w:before="0"/>
      </w:pPr>
      <w:r>
        <w:rPr>
          <w:b/>
        </w:rPr>
        <w:t xml:space="preserve">🔍 Key Clues: </w:t>
      </w:r>
      <w:r>
        <w:t>Hyperkalemia ECG: tall peaked T waves → widened QRS → loss of P wave → sine wave.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QRS WIDENS (not narrows) in severe hyperkalemia. | c — P waves flatten/disappear, they do not become tall. | d — PR interval prolongs as conduction slows.</w:t>
      </w:r>
    </w:p>
    <w:p>
      <w:pPr>
        <w:spacing w:after="20" w:before="0"/>
      </w:pPr>
      <w:r>
        <w:rPr>
          <w:b/>
          <w:color w:val="B45F06"/>
        </w:rPr>
        <w:t xml:space="preserve">⚠️ Exam Trap: </w:t>
      </w:r>
      <w:r>
        <w:t>ECG ladder of hyperkalemia: peaked T → wide QRS → flat P → sine wave. Treat with calcium gluconate, insulin-glucose.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Hyperkalemia: tall peaked T waves first; severe = wide QRS, lost P waves.</w:t>
      </w:r>
    </w:p>
    <w:p>
      <w:pPr>
        <w:spacing w:after="0" w:before="0"/>
      </w:pPr>
      <w:r>
        <w:rPr>
          <w:b/>
          <w:i w:val="0"/>
          <w:sz w:val="21"/>
        </w:rPr>
        <w:t>Positive Marks: 1    Negative Marks: 0.25</w:t>
      </w:r>
    </w:p>
    <w:p>
      <w:pPr>
        <w:spacing w:before="280" w:after="40"/>
      </w:pPr>
      <w:r>
        <w:rPr>
          <w:b/>
        </w:rPr>
        <w:t xml:space="preserve">Question: </w:t>
      </w:r>
      <w:r>
        <w:t>Which of the following is used in the management of hyperkalemia?</w:t>
      </w:r>
    </w:p>
    <w:p>
      <w:pPr>
        <w:spacing w:after="20" w:before="0"/>
      </w:pPr>
      <w:r>
        <w:rPr>
          <w:b w:val="0"/>
          <w:i w:val="0"/>
          <w:sz w:val="21"/>
        </w:rPr>
        <w:t>(a)  Insulin with glucose</w:t>
      </w:r>
    </w:p>
    <w:p>
      <w:pPr>
        <w:spacing w:after="20" w:before="0"/>
      </w:pPr>
      <w:r>
        <w:rPr>
          <w:b w:val="0"/>
          <w:i w:val="0"/>
          <w:sz w:val="21"/>
        </w:rPr>
        <w:t>(b)  Sodium bicarbonate</w:t>
      </w:r>
    </w:p>
    <w:p>
      <w:pPr>
        <w:spacing w:after="20" w:before="0"/>
      </w:pPr>
      <w:r>
        <w:rPr>
          <w:b w:val="0"/>
          <w:i w:val="0"/>
          <w:sz w:val="21"/>
        </w:rPr>
        <w:t>(c)  Potassium chloride</w:t>
      </w:r>
    </w:p>
    <w:p>
      <w:pPr>
        <w:spacing w:after="20" w:before="0"/>
      </w:pPr>
      <w:r>
        <w:rPr>
          <w:b w:val="0"/>
          <w:i w:val="0"/>
          <w:sz w:val="21"/>
        </w:rPr>
        <w:t>(d)  Magnesium sulfate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 hyperkalemia, INSULIN WITH GLUCOSE shifts potassium into the cells (insulin drives K+ into cells; glucose prevents hypoglycemia). Calcium gluconate stabilizes the myocardium, beta-agonists and sodium bicarbonate also shift K+ intracellularly, and kayexelate/dialysis remove it. Potassium chloride would worsen the problem; magnesium sulfate is used in torsades/hypomagnesemia.</w:t>
      </w:r>
    </w:p>
    <w:p>
      <w:pPr>
        <w:spacing w:after="20" w:before="0"/>
      </w:pPr>
      <w:r>
        <w:rPr>
          <w:b/>
        </w:rPr>
        <w:t xml:space="preserve">🔍 Key Clues: </w:t>
      </w:r>
      <w:r>
        <w:t>Hyperkalemia treatment: calcium gluconate (membrane) + insulin-glucose (shift) + dialysis (remove).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Sodium bicarbonate is an adjunct, not the primary option here. | c — KCl would aggravate hyperkalemia. | d — Magnesium sulfate is for torsades/hypomagnesemia, not hyperkalemia.</w:t>
      </w:r>
    </w:p>
    <w:p>
      <w:pPr>
        <w:spacing w:after="20" w:before="0"/>
      </w:pPr>
      <w:r>
        <w:rPr>
          <w:b/>
          <w:color w:val="B45F06"/>
        </w:rPr>
        <w:t xml:space="preserve">⚠️ Exam Trap: </w:t>
      </w:r>
      <w:r>
        <w:t>Insulin is always given WITH glucose — 'insulin + glucose' shifts K+ into cells and prevents hypoglycemia.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Hyperkalemia: IV calcium gluconate + insulin-glucose (shift), then dialysis/resins (remove).</w:t>
      </w:r>
    </w:p>
    <w:p>
      <w:pPr>
        <w:spacing w:after="0" w:before="0"/>
      </w:pPr>
      <w:r>
        <w:rPr>
          <w:b/>
          <w:i w:val="0"/>
          <w:sz w:val="21"/>
        </w:rPr>
        <w:t>Positive Marks: 1    Negative Marks: 0.25</w:t>
      </w:r>
    </w:p>
    <w:p>
      <w:pPr>
        <w:spacing w:before="280" w:after="40"/>
      </w:pPr>
      <w:r>
        <w:rPr>
          <w:b/>
        </w:rPr>
        <w:t xml:space="preserve">Question: </w:t>
      </w:r>
      <w:r>
        <w:t>Osler’s nodes are the features of which of the following?</w:t>
      </w:r>
    </w:p>
    <w:p>
      <w:pPr>
        <w:spacing w:after="20" w:before="0"/>
      </w:pPr>
      <w:r>
        <w:rPr>
          <w:b w:val="0"/>
          <w:i w:val="0"/>
          <w:sz w:val="21"/>
        </w:rPr>
        <w:t>(a)  Rheumatic endocarditis</w:t>
      </w:r>
    </w:p>
    <w:p>
      <w:pPr>
        <w:spacing w:after="20" w:before="0"/>
      </w:pPr>
      <w:r>
        <w:rPr>
          <w:b w:val="0"/>
          <w:i w:val="0"/>
          <w:sz w:val="21"/>
        </w:rPr>
        <w:t>(b)  Endocarditis</w:t>
      </w:r>
    </w:p>
    <w:p>
      <w:pPr>
        <w:spacing w:after="20" w:before="0"/>
      </w:pPr>
      <w:r>
        <w:rPr>
          <w:b w:val="0"/>
          <w:i w:val="0"/>
          <w:sz w:val="21"/>
        </w:rPr>
        <w:t>(c)  Osteoarthritis</w:t>
      </w:r>
    </w:p>
    <w:p>
      <w:pPr>
        <w:spacing w:after="20" w:before="0"/>
      </w:pPr>
      <w:r>
        <w:rPr>
          <w:b w:val="0"/>
          <w:i w:val="0"/>
          <w:sz w:val="21"/>
        </w:rPr>
        <w:t>(d)  Rheumatic heart disease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OSLER’S NODES — tender, small, red/purple nodules on the finger/toe pads — are an IMMUNE (vasculitic) manifestation of INFECTIVE ENDOCARDITIS, along with Janeway lesions, splinter hemorrhages and Roth spots. Rheumatic heart disease is a valve sequel of rheumatic fever; osteoarthritis is a degenerative joint disease.</w:t>
      </w:r>
    </w:p>
    <w:p>
      <w:pPr>
        <w:spacing w:after="20" w:before="0"/>
      </w:pPr>
      <w:r>
        <w:rPr>
          <w:b/>
        </w:rPr>
        <w:t xml:space="preserve">🔍 Key Clues: </w:t>
      </w:r>
      <w:r>
        <w:t>Osler's nodes + Janeway lesions + splinter hemorrhages + Roth spots = infective endocarditis.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Rheumatic endocarditis is not associated with Osler’s nodes. | c — Osteoarthritis shows Heberden/Bouchard nodes, not Osler’s. | d — Rheumatic heart disease is valve scarring, not Osler’s nodes.</w:t>
      </w:r>
    </w:p>
    <w:p>
      <w:pPr>
        <w:spacing w:after="20" w:before="0"/>
      </w:pPr>
      <w:r>
        <w:rPr>
          <w:b/>
          <w:color w:val="B45F06"/>
        </w:rPr>
        <w:t xml:space="preserve">⚠️ Exam Trap: </w:t>
      </w:r>
      <w:r>
        <w:t>Don't confuse Osler's nodes (endocarditis, tender) with Janeway lesions (non-tender) or Heberden's nodes (OA).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Infective endocarditis: Osler’s nodes, Janeway lesions, splinter hemorrhages, Roth spots.</w:t>
      </w:r>
    </w:p>
    <w:p>
      <w:pPr>
        <w:spacing w:after="0" w:before="0"/>
      </w:pPr>
      <w:r>
        <w:rPr>
          <w:b/>
          <w:i w:val="0"/>
          <w:sz w:val="21"/>
        </w:rPr>
        <w:t>Positive Marks: 1    Negative Marks: 0.25</w:t>
      </w:r>
    </w:p>
    <w:p>
      <w:pPr>
        <w:spacing w:before="280" w:after="40"/>
      </w:pPr>
      <w:r>
        <w:rPr>
          <w:b/>
        </w:rPr>
        <w:t xml:space="preserve">Question: </w:t>
      </w:r>
      <w:r>
        <w:t>Duke criteria are followed in:</w:t>
      </w:r>
    </w:p>
    <w:p>
      <w:pPr>
        <w:spacing w:after="20" w:before="0"/>
      </w:pPr>
      <w:r>
        <w:rPr>
          <w:b w:val="0"/>
          <w:i w:val="0"/>
          <w:sz w:val="21"/>
        </w:rPr>
        <w:t>(a)  Infective endocarditis</w:t>
      </w:r>
    </w:p>
    <w:p>
      <w:pPr>
        <w:spacing w:after="20" w:before="0"/>
      </w:pPr>
      <w:r>
        <w:rPr>
          <w:b w:val="0"/>
          <w:i w:val="0"/>
          <w:sz w:val="21"/>
        </w:rPr>
        <w:t>(b)  Complete heart block</w:t>
      </w:r>
    </w:p>
    <w:p>
      <w:pPr>
        <w:spacing w:after="20" w:before="0"/>
      </w:pPr>
      <w:r>
        <w:rPr>
          <w:b w:val="0"/>
          <w:i w:val="0"/>
          <w:sz w:val="21"/>
        </w:rPr>
        <w:t>(c)  Rheumatoid heart diseases</w:t>
      </w:r>
    </w:p>
    <w:p>
      <w:pPr>
        <w:spacing w:after="20" w:before="0"/>
      </w:pPr>
      <w:r>
        <w:rPr>
          <w:b w:val="0"/>
          <w:i w:val="0"/>
          <w:sz w:val="21"/>
        </w:rPr>
        <w:t>(d)  Rheumatoid arthritis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DUKE CRITERIA are the diagnostic criteria for INFECTIVE ENDOCARDITIS — major criteria (positive blood cultures, echocardiographic evidence of vegetations/abscess, new valvular regurgitation) and minor criteria (fever, predisposing condition, vascular/immunologic phenomena). A diagnosis is definite with 2 major, 1 major + 3 minor, or 5 minor criteria.</w:t>
      </w:r>
    </w:p>
    <w:p>
      <w:pPr>
        <w:spacing w:after="20" w:before="0"/>
      </w:pPr>
      <w:r>
        <w:rPr>
          <w:b/>
        </w:rPr>
        <w:t xml:space="preserve">🔍 Key Clues: </w:t>
      </w:r>
      <w:r>
        <w:t>Duke criteria = infective endocarditis (blood cultures + echo vegetations + fever).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Complete heart block is diagnosed on ECG, not Duke criteria. | c — Rheumatic heart disease uses Jones criteria. | d — Rheumatoid arthritis uses ACR/EULAR criteria.</w:t>
      </w:r>
    </w:p>
    <w:p>
      <w:pPr>
        <w:spacing w:after="20" w:before="0"/>
      </w:pPr>
      <w:r>
        <w:rPr>
          <w:b/>
          <w:color w:val="B45F06"/>
        </w:rPr>
        <w:t xml:space="preserve">⚠️ Exam Trap: </w:t>
      </w:r>
      <w:r>
        <w:t>Jones criteria = rheumatic fever; Duke criteria = infective endocarditis — don't swap them.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Duke criteria → infective endocarditis; Jones criteria → rheumatic fever.</w:t>
      </w:r>
    </w:p>
    <w:p>
      <w:pPr>
        <w:spacing w:after="0" w:before="0"/>
      </w:pPr>
      <w:r>
        <w:rPr>
          <w:b/>
          <w:i w:val="0"/>
          <w:sz w:val="21"/>
        </w:rPr>
        <w:t>Positive Marks: 1    Negative Marks: 0.25</w:t>
      </w:r>
    </w:p>
    <w:p>
      <w:pPr>
        <w:spacing w:before="280" w:after="40"/>
      </w:pPr>
      <w:r>
        <w:rPr>
          <w:b/>
        </w:rPr>
        <w:t xml:space="preserve">Question: </w:t>
      </w:r>
      <w:r>
        <w:t>Which one of the following should be used following administration of barium enema?</w:t>
      </w:r>
    </w:p>
    <w:p>
      <w:pPr>
        <w:spacing w:after="20" w:before="0"/>
      </w:pPr>
      <w:r>
        <w:rPr>
          <w:b w:val="0"/>
          <w:i w:val="0"/>
          <w:sz w:val="21"/>
        </w:rPr>
        <w:t>(a)  Antacid</w:t>
      </w:r>
    </w:p>
    <w:p>
      <w:pPr>
        <w:spacing w:after="20" w:before="0"/>
      </w:pPr>
      <w:r>
        <w:rPr>
          <w:b w:val="0"/>
          <w:i w:val="0"/>
          <w:sz w:val="21"/>
        </w:rPr>
        <w:t>(b)  Laxative</w:t>
      </w:r>
    </w:p>
    <w:p>
      <w:pPr>
        <w:spacing w:after="20" w:before="0"/>
      </w:pPr>
      <w:r>
        <w:rPr>
          <w:b w:val="0"/>
          <w:i w:val="0"/>
          <w:sz w:val="21"/>
        </w:rPr>
        <w:t>(c)  Analgesics</w:t>
      </w:r>
    </w:p>
    <w:p>
      <w:pPr>
        <w:spacing w:after="20" w:before="0"/>
      </w:pPr>
      <w:r>
        <w:rPr>
          <w:b w:val="0"/>
          <w:i w:val="0"/>
          <w:sz w:val="21"/>
        </w:rPr>
        <w:t>(d)  Fruit Juice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After a BARIUM ENEMA, a LAXATIVE (and increased fluids) is given to evacuate the residual barium and prevent IMPACTION — barium remaining in the colon can harden and cause obstruction/constipation. Antacids, analgesics and fruit juice do not clear the barium.</w:t>
      </w:r>
    </w:p>
    <w:p>
      <w:pPr>
        <w:spacing w:after="20" w:before="0"/>
      </w:pPr>
      <w:r>
        <w:rPr>
          <w:b/>
        </w:rPr>
        <w:t xml:space="preserve">🔍 Key Clues: </w:t>
      </w:r>
      <w:r>
        <w:t>Post-barium enema: laxative + fluids to expel barium and prevent impaction.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Antacids do not evacuate barium. | c — Analgesics are not needed routinely. | d — Fruit juice alone does not prevent barium impaction.</w:t>
      </w:r>
    </w:p>
    <w:p>
      <w:pPr>
        <w:spacing w:after="20" w:before="0"/>
      </w:pPr>
      <w:r>
        <w:rPr>
          <w:b/>
          <w:color w:val="B45F06"/>
        </w:rPr>
        <w:t xml:space="preserve">⚠️ Exam Trap: </w:t>
      </w:r>
      <w:r>
        <w:t>Watch the stools for white/barium-coated stool after the procedure and ensure it is all passed.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After barium enema: give laxative + fluids; observe for barium passage (white stools).</w:t>
      </w:r>
    </w:p>
    <w:p>
      <w:pPr>
        <w:spacing w:after="0" w:before="0"/>
      </w:pPr>
      <w:r>
        <w:rPr>
          <w:b/>
          <w:i w:val="0"/>
          <w:sz w:val="21"/>
        </w:rPr>
        <w:t>Positive Marks: 1    Negative Marks: 0.25</w:t>
      </w:r>
    </w:p>
    <w:p>
      <w:pPr>
        <w:spacing w:before="280" w:after="40"/>
      </w:pPr>
      <w:r>
        <w:rPr>
          <w:b/>
        </w:rPr>
        <w:t xml:space="preserve">Question: </w:t>
      </w:r>
      <w:r>
        <w:t>If the trait in the pedigree is autosomal recessive and subject to complete penetrance, which of the following is true?</w:t>
      </w:r>
    </w:p>
    <w:p>
      <w:pPr>
        <w:spacing w:after="40" w:before="0"/>
      </w:pPr>
      <w:r>
        <w:rPr>
          <w:b w:val="0"/>
          <w:i/>
          <w:color w:val="B45F06"/>
          <w:sz w:val="20"/>
        </w:rPr>
        <w:t>[ IMAGE: N4-Q20 — image in the Image Bank, to be inserted ]</w:t>
      </w:r>
    </w:p>
    <w:p>
      <w:pPr>
        <w:spacing w:after="20" w:before="0"/>
      </w:pPr>
      <w:r>
        <w:rPr>
          <w:b w:val="0"/>
          <w:i w:val="0"/>
          <w:sz w:val="21"/>
        </w:rPr>
        <w:t>(a)  Individual I-2 must be heterozygous</w:t>
      </w:r>
    </w:p>
    <w:p>
      <w:pPr>
        <w:spacing w:after="20" w:before="0"/>
      </w:pPr>
      <w:r>
        <w:rPr>
          <w:b w:val="0"/>
          <w:i w:val="0"/>
          <w:sz w:val="21"/>
        </w:rPr>
        <w:t>(b)  Individual II-1 might be heterozygous</w:t>
      </w:r>
    </w:p>
    <w:p>
      <w:pPr>
        <w:spacing w:after="20" w:before="0"/>
      </w:pPr>
      <w:r>
        <w:rPr>
          <w:b w:val="0"/>
          <w:i w:val="0"/>
          <w:sz w:val="21"/>
        </w:rPr>
        <w:t>(c)  Individual II-3 must be heterozygous</w:t>
      </w:r>
    </w:p>
    <w:p>
      <w:pPr>
        <w:spacing w:after="20" w:before="0"/>
      </w:pPr>
      <w:r>
        <w:rPr>
          <w:b w:val="0"/>
          <w:i w:val="0"/>
          <w:sz w:val="21"/>
        </w:rPr>
        <w:t>(d)  Individual III-2 might be heterozygous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an AUTOSOMAL RECESSIVE pedigree with complete penetrance, any UNAFFECTED parent of an AFFECTED child must be a heterozygous (carrier) — because the affected child received one mutant allele from each parent. Per the pedigree (see image) and the printed key, INDIVIDUAL II-3 is an unaffected parent of an affected offspring, so II-3 MUST be heterozygous (obligate carrier).</w:t>
      </w:r>
    </w:p>
    <w:p>
      <w:pPr>
        <w:spacing w:after="20" w:before="0"/>
      </w:pPr>
      <w:r>
        <w:rPr>
          <w:b/>
        </w:rPr>
        <w:t xml:space="preserve">🔍 Key Clues: </w:t>
      </w:r>
      <w:r>
        <w:t>Autosomal recessive: unaffected parent of an affected child = obligate carrier (heterozygous).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Individual I-2’s carrier status follows from the pedigree — the keyed statement is II-3. | b — II-1’s status is not the keyed conclusion. | d — III-2’s "might be" status is not the keyed answer.</w:t>
      </w:r>
    </w:p>
    <w:p>
      <w:pPr>
        <w:spacing w:after="20" w:before="0"/>
      </w:pPr>
      <w:r>
        <w:rPr>
          <w:b/>
          <w:color w:val="B45F06"/>
        </w:rPr>
        <w:t xml:space="preserve">⚠️ Exam Trap: </w:t>
      </w:r>
      <w:r>
        <w:t>Rule: in AR pedigrees, unaffected parents of affected children are obligate carriers — "must be heterozygous".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Autosomal recessive: affected child ⇒ both parents carriers (heterozygous).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