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client presents to the dermatology OPD with the complaint in the groin area. The examination findings include a small red scaly rash in the groin area extended to the inner thigh and buttocks area. The client is infected with jock itch. Identify the exact diagnosis based on his clinical image given below.</w:t>
      </w:r>
    </w:p>
    <w:p>
      <w:pPr>
        <w:spacing w:after="40" w:before="0"/>
      </w:pPr>
      <w:r>
        <w:rPr>
          <w:b w:val="0"/>
          <w:i/>
          <w:color w:val="B45F06"/>
          <w:sz w:val="20"/>
        </w:rPr>
        <w:t>[ IMAGE: N4-Q21 — image in the Image Bank, to be inserted ]</w:t>
      </w:r>
    </w:p>
    <w:p>
      <w:pPr>
        <w:spacing w:after="20" w:before="0"/>
      </w:pPr>
      <w:r>
        <w:rPr>
          <w:b w:val="0"/>
          <w:i w:val="0"/>
          <w:sz w:val="21"/>
        </w:rPr>
        <w:t>(a)  Tinea pedis</w:t>
      </w:r>
    </w:p>
    <w:p>
      <w:pPr>
        <w:spacing w:after="20" w:before="0"/>
      </w:pPr>
      <w:r>
        <w:rPr>
          <w:b w:val="0"/>
          <w:i w:val="0"/>
          <w:sz w:val="21"/>
        </w:rPr>
        <w:t>(b)  Tinea cruris</w:t>
      </w:r>
    </w:p>
    <w:p>
      <w:pPr>
        <w:spacing w:after="20" w:before="0"/>
      </w:pPr>
      <w:r>
        <w:rPr>
          <w:b w:val="0"/>
          <w:i w:val="0"/>
          <w:sz w:val="21"/>
        </w:rPr>
        <w:t>(c)  Tinea capitis</w:t>
      </w:r>
    </w:p>
    <w:p>
      <w:pPr>
        <w:spacing w:after="20" w:before="0"/>
      </w:pPr>
      <w:r>
        <w:rPr>
          <w:b w:val="0"/>
          <w:i w:val="0"/>
          <w:sz w:val="21"/>
        </w:rPr>
        <w:t>(d)  Tinea corporis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JOCK ITCH is TINEA CRURIS — a dermatophyte (fungal) infection of the GROIN and inner thighs, classically a red, itchy, scaly, well-demarcated rash with an advancing border. Tinea pedis = feet (athlete’s foot); tinea capitis = scalp; tinea corporis = body (ringworm of trunk/limbs).</w:t>
      </w:r>
    </w:p>
    <w:p>
      <w:pPr>
        <w:spacing w:after="20" w:before="0"/>
      </w:pPr>
      <w:r>
        <w:rPr>
          <w:b/>
        </w:rPr>
        <w:t xml:space="preserve">🔍 Key Clues: </w:t>
      </w:r>
      <w:r>
        <w:t>Groin + scaly red rash + "jock itch" = tinea cruris.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Tinea pedis affects the feet. | c — Tinea capitis affects the scalp (hair loss, broken hairs). | d — Tinea corporis is ringworm of the trunk/limbs.</w:t>
      </w:r>
    </w:p>
    <w:p>
      <w:pPr>
        <w:spacing w:after="20" w:before="0"/>
      </w:pPr>
      <w:r>
        <w:rPr>
          <w:b/>
          <w:color w:val="B45F06"/>
        </w:rPr>
        <w:t xml:space="preserve">⚠️ Exam Trap: </w:t>
      </w:r>
      <w:r>
        <w:t>Body-region map: pedis = foot, cruris = groin, capitis = scalp, corporis = body, unguium = nails.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Tinea cruris = jock itch (groin); keep the area dry, use topical antifungals.</w:t>
      </w:r>
    </w:p>
    <w:p>
      <w:pPr>
        <w:spacing w:after="0" w:before="0"/>
      </w:pPr>
      <w:r>
        <w:rPr>
          <w:b/>
          <w:i w:val="0"/>
          <w:sz w:val="21"/>
        </w:rPr>
        <w:t>Positive Marks: 1    Negative Marks: 0.25</w:t>
      </w:r>
    </w:p>
    <w:p>
      <w:pPr>
        <w:spacing w:before="280" w:after="40"/>
      </w:pPr>
      <w:r>
        <w:rPr>
          <w:b/>
        </w:rPr>
        <w:t xml:space="preserve">Question: </w:t>
      </w:r>
      <w:r>
        <w:t>Identify the condition shown in the given image of X-ray.</w:t>
      </w:r>
    </w:p>
    <w:p>
      <w:pPr>
        <w:spacing w:after="40" w:before="0"/>
      </w:pPr>
      <w:r>
        <w:rPr>
          <w:b w:val="0"/>
          <w:i/>
          <w:color w:val="B45F06"/>
          <w:sz w:val="20"/>
        </w:rPr>
        <w:t>[ IMAGE: N4-Q22 — image in the Image Bank, to be inserted ]</w:t>
      </w:r>
    </w:p>
    <w:p>
      <w:pPr>
        <w:spacing w:after="20" w:before="0"/>
      </w:pPr>
      <w:r>
        <w:rPr>
          <w:b w:val="0"/>
          <w:i w:val="0"/>
          <w:sz w:val="21"/>
        </w:rPr>
        <w:t>(a)  Pneumothorax</w:t>
      </w:r>
    </w:p>
    <w:p>
      <w:pPr>
        <w:spacing w:after="20" w:before="0"/>
      </w:pPr>
      <w:r>
        <w:rPr>
          <w:b w:val="0"/>
          <w:i w:val="0"/>
          <w:sz w:val="21"/>
        </w:rPr>
        <w:t>(b)  Pleural effusion</w:t>
      </w:r>
    </w:p>
    <w:p>
      <w:pPr>
        <w:spacing w:after="20" w:before="0"/>
      </w:pPr>
      <w:r>
        <w:rPr>
          <w:b w:val="0"/>
          <w:i w:val="0"/>
          <w:sz w:val="21"/>
        </w:rPr>
        <w:t>(c)  Pleurisy</w:t>
      </w:r>
    </w:p>
    <w:p>
      <w:pPr>
        <w:spacing w:after="20" w:before="0"/>
      </w:pPr>
      <w:r>
        <w:rPr>
          <w:b w:val="0"/>
          <w:i w:val="0"/>
          <w:sz w:val="21"/>
        </w:rPr>
        <w:t>(d)  Pulmonary infarction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X-ray shows a PLEURAL EFFUSION — the dependent hemithorax shows a dense WHITE OPACITY with a characteristic meniscus (fluid level) along the costophrenic angle and blunting of the angle. A pneumothorax shows a hyperlucent lung with a visceral pleural line and absent lung markings; pleurisy and pulmonary infarction do not produce this pattern.</w:t>
      </w:r>
    </w:p>
    <w:p>
      <w:pPr>
        <w:spacing w:after="20" w:before="0"/>
      </w:pPr>
      <w:r>
        <w:rPr>
          <w:b/>
        </w:rPr>
        <w:t xml:space="preserve">🔍 Key Clues: </w:t>
      </w:r>
      <w:r>
        <w:t>X-ray: white opacity + blunted costophrenic angle + meniscus = pleural effusion.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Pneumothorax = hyperlucency + visceral pleural line. | c — Pleurisy is inflammation — no fluid collection on X-ray. | d — Pulmonary infarction gives a wedge opacity, not a meniscus.</w:t>
      </w:r>
    </w:p>
    <w:p>
      <w:pPr>
        <w:spacing w:after="20" w:before="0"/>
      </w:pPr>
      <w:r>
        <w:rPr>
          <w:b/>
          <w:color w:val="B45F06"/>
        </w:rPr>
        <w:t xml:space="preserve">⚠️ Exam Trap: </w:t>
      </w:r>
      <w:r>
        <w:t>Dark = air (pneumothorax); white = fluid (effusion). The meniscus/blunted angle is the effusion giveaway.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Pleural effusion on X-ray: blunted costophrenic angle + meniscus-shaped opacity.</w:t>
      </w:r>
    </w:p>
    <w:p>
      <w:pPr>
        <w:spacing w:after="0" w:before="0"/>
      </w:pPr>
      <w:r>
        <w:rPr>
          <w:b/>
          <w:i w:val="0"/>
          <w:sz w:val="21"/>
        </w:rPr>
        <w:t>Positive Marks: 1    Negative Marks: 0.25</w:t>
      </w:r>
    </w:p>
    <w:p>
      <w:pPr>
        <w:spacing w:before="280" w:after="40"/>
      </w:pPr>
      <w:r>
        <w:rPr>
          <w:b/>
        </w:rPr>
        <w:t xml:space="preserve">Question: </w:t>
      </w:r>
      <w:r>
        <w:t>Which symptom is NOT commonly seen in right sided heart failure?</w:t>
      </w:r>
    </w:p>
    <w:p>
      <w:pPr>
        <w:spacing w:after="20" w:before="0"/>
      </w:pPr>
      <w:r>
        <w:rPr>
          <w:b w:val="0"/>
          <w:i w:val="0"/>
          <w:sz w:val="21"/>
        </w:rPr>
        <w:t>(a)  Crackles</w:t>
      </w:r>
    </w:p>
    <w:p>
      <w:pPr>
        <w:spacing w:after="20" w:before="0"/>
      </w:pPr>
      <w:r>
        <w:rPr>
          <w:b w:val="0"/>
          <w:i w:val="0"/>
          <w:sz w:val="21"/>
        </w:rPr>
        <w:t>(b)  Nocturia</w:t>
      </w:r>
    </w:p>
    <w:p>
      <w:pPr>
        <w:spacing w:after="20" w:before="0"/>
      </w:pPr>
      <w:r>
        <w:rPr>
          <w:b w:val="0"/>
          <w:i w:val="0"/>
          <w:sz w:val="21"/>
        </w:rPr>
        <w:t>(c)  Jugular vein distension</w:t>
      </w:r>
    </w:p>
    <w:p>
      <w:pPr>
        <w:spacing w:after="20" w:before="0"/>
      </w:pPr>
      <w:r>
        <w:rPr>
          <w:b w:val="0"/>
          <w:i w:val="0"/>
          <w:sz w:val="21"/>
        </w:rPr>
        <w:t>(d)  Weight gain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RIGHT-sided heart failure causes systemic congestion: JUGULAR VEIN DISTENSION, dependent EDEMA/WEIGHT GAIN, hepatomegaly, ascites and NOCTURIA (fluid mobilised at night). CRACKLES (pulmonary rales) reflect PULMONARY congestion — a feature of LEFT-sided failure, not right-sided failure.</w:t>
      </w:r>
    </w:p>
    <w:p>
      <w:pPr>
        <w:spacing w:after="20" w:before="0"/>
      </w:pPr>
      <w:r>
        <w:rPr>
          <w:b/>
        </w:rPr>
        <w:t xml:space="preserve">🔍 Key Clues: </w:t>
      </w:r>
      <w:r>
        <w:t>Right HF = systemic congestion (JVD, edema, ascites, nocturia); crackles = left HF.</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Nocturia is common in right HF (nocturnal fluid mobilisation). | c — JVD is the hallmark of right HF. | d — Weight gain from fluid retention is common.</w:t>
      </w:r>
    </w:p>
    <w:p>
      <w:pPr>
        <w:spacing w:after="20" w:before="0"/>
      </w:pPr>
      <w:r>
        <w:rPr>
          <w:b/>
          <w:color w:val="B45F06"/>
        </w:rPr>
        <w:t xml:space="preserve">⚠️ Exam Trap: </w:t>
      </w:r>
      <w:r>
        <w:t>Left HF: lungs (crackles, orthopnea, DOE); Right HF: body (JVD, edema, ascites, hepatomegaly).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Right HF: JVD + edema + ascites + weight gain; Left HF: crackles + orthopnea.</w:t>
      </w:r>
    </w:p>
    <w:p>
      <w:pPr>
        <w:spacing w:after="0" w:before="0"/>
      </w:pPr>
      <w:r>
        <w:rPr>
          <w:b/>
          <w:i w:val="0"/>
          <w:sz w:val="21"/>
        </w:rPr>
        <w:t>Positive Marks: 1    Negative Marks: 0.25</w:t>
      </w:r>
    </w:p>
    <w:p>
      <w:pPr>
        <w:spacing w:before="280" w:after="40"/>
      </w:pPr>
      <w:r>
        <w:rPr>
          <w:b/>
        </w:rPr>
        <w:t xml:space="preserve">Question: </w:t>
      </w:r>
      <w:r>
        <w:t>Honey bee lesion seen in the given below image is a characteristic feature of which disease condition?</w:t>
      </w:r>
    </w:p>
    <w:p>
      <w:pPr>
        <w:spacing w:after="40" w:before="0"/>
      </w:pPr>
      <w:r>
        <w:rPr>
          <w:b w:val="0"/>
          <w:i/>
          <w:color w:val="B45F06"/>
          <w:sz w:val="20"/>
        </w:rPr>
        <w:t>[ IMAGE: N4-Q24 — image in the Image Bank, to be inserted ]</w:t>
      </w:r>
    </w:p>
    <w:p>
      <w:pPr>
        <w:spacing w:after="20" w:before="0"/>
      </w:pPr>
      <w:r>
        <w:rPr>
          <w:b w:val="0"/>
          <w:i w:val="0"/>
          <w:sz w:val="21"/>
        </w:rPr>
        <w:t>(a)  Impetigo</w:t>
      </w:r>
    </w:p>
    <w:p>
      <w:pPr>
        <w:spacing w:after="20" w:before="0"/>
      </w:pPr>
      <w:r>
        <w:rPr>
          <w:b w:val="0"/>
          <w:i w:val="0"/>
          <w:sz w:val="21"/>
        </w:rPr>
        <w:t>(b)  Dermatitis</w:t>
      </w:r>
    </w:p>
    <w:p>
      <w:pPr>
        <w:spacing w:after="20" w:before="0"/>
      </w:pPr>
      <w:r>
        <w:rPr>
          <w:b w:val="0"/>
          <w:i w:val="0"/>
          <w:sz w:val="21"/>
        </w:rPr>
        <w:t>(c)  Urticaria</w:t>
      </w:r>
    </w:p>
    <w:p>
      <w:pPr>
        <w:spacing w:after="20" w:before="0"/>
      </w:pPr>
      <w:r>
        <w:rPr>
          <w:b w:val="0"/>
          <w:i w:val="0"/>
          <w:sz w:val="21"/>
        </w:rPr>
        <w:t>(d)  None of these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"HONEY-COLORED" (honey bee) crusted lesions shown are the classic feature of IMPETIGO — a superficial bacterial (Staph/Strep) skin infection with golden-yellow crusts, often around the nose and mouth in children. Dermatitis is eczematous (scaly/vesicular), and urticaria is transient itchy wheals.</w:t>
      </w:r>
    </w:p>
    <w:p>
      <w:pPr>
        <w:spacing w:after="20" w:before="0"/>
      </w:pPr>
      <w:r>
        <w:rPr>
          <w:b/>
        </w:rPr>
        <w:t xml:space="preserve">🔍 Key Clues: </w:t>
      </w:r>
      <w:r>
        <w:t>Honey-coloured crusts = impetigo (superficial staphylococcal/strep infection).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Dermatitis is eczematous — erythema, scaling, vesicles. | c — Urticaria = transient wheals (hives). | d — An option is correct (a).</w:t>
      </w:r>
    </w:p>
    <w:p>
      <w:pPr>
        <w:spacing w:after="20" w:before="0"/>
      </w:pPr>
      <w:r>
        <w:rPr>
          <w:b/>
          <w:color w:val="B45F06"/>
        </w:rPr>
        <w:t xml:space="preserve">⚠️ Exam Trap: </w:t>
      </w:r>
      <w:r>
        <w:t>"Honey bee" lesion = honey-coloured crust of impetigo — a favourite one-liner in exams.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Impetigo: honey-coloured crusted lesions (Staph aureus / Strep pyogenes).</w:t>
      </w:r>
    </w:p>
    <w:p>
      <w:pPr>
        <w:spacing w:after="0" w:before="0"/>
      </w:pPr>
      <w:r>
        <w:rPr>
          <w:b/>
          <w:i w:val="0"/>
          <w:sz w:val="21"/>
        </w:rPr>
        <w:t>Positive Marks: 1    Negative Marks: 0.25</w:t>
      </w:r>
    </w:p>
    <w:p>
      <w:pPr>
        <w:spacing w:before="280" w:after="40"/>
      </w:pPr>
      <w:r>
        <w:rPr>
          <w:b/>
        </w:rPr>
        <w:t xml:space="preserve">Question: </w:t>
      </w:r>
      <w:r>
        <w:t>Which perfusion pressure is ideally maintained in patient with traumatic brain injury?</w:t>
      </w:r>
    </w:p>
    <w:p>
      <w:pPr>
        <w:spacing w:after="20" w:before="0"/>
      </w:pPr>
      <w:r>
        <w:rPr>
          <w:b w:val="0"/>
          <w:i w:val="0"/>
          <w:sz w:val="21"/>
        </w:rPr>
        <w:t>(a)  60–70%</w:t>
      </w:r>
    </w:p>
    <w:p>
      <w:pPr>
        <w:spacing w:after="20" w:before="0"/>
      </w:pPr>
      <w:r>
        <w:rPr>
          <w:b w:val="0"/>
          <w:i w:val="0"/>
          <w:sz w:val="21"/>
        </w:rPr>
        <w:t>(b)  70–80%</w:t>
      </w:r>
    </w:p>
    <w:p>
      <w:pPr>
        <w:spacing w:after="20" w:before="0"/>
      </w:pPr>
      <w:r>
        <w:rPr>
          <w:b w:val="0"/>
          <w:i w:val="0"/>
          <w:sz w:val="21"/>
        </w:rPr>
        <w:t>(c)  80–90%</w:t>
      </w:r>
    </w:p>
    <w:p>
      <w:pPr>
        <w:spacing w:after="20" w:before="0"/>
      </w:pPr>
      <w:r>
        <w:rPr>
          <w:b w:val="0"/>
          <w:i w:val="0"/>
          <w:sz w:val="21"/>
        </w:rPr>
        <w:t>(d)  90–95%</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traumatic brain injury, the CEREBRAL PERFUSION PRESSURE (CPP = MAP − ICP) is ideally kept at 60–70 mmHg to maintain cerebral blood flow while avoiding excessive pressure (which worsens edema). The options print "%" but the standard target is 60–70 mmHg. ICP is kept &lt; 20–22 mmHg.</w:t>
      </w:r>
    </w:p>
    <w:p>
      <w:pPr>
        <w:spacing w:after="20" w:before="0"/>
      </w:pPr>
      <w:r>
        <w:rPr>
          <w:b/>
        </w:rPr>
        <w:t xml:space="preserve">🔍 Key Clues: </w:t>
      </w:r>
      <w:r>
        <w:t>TBI targets: CPP 60-70 mmHg, ICP &lt; 20-22 mmHg.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70-80 mmHg is higher than the ideal CPP target. | c — 80-90 mmHg exceeds the target and risks worsening edema. | d — 90-95% is a SpO2 target, not CPP.</w:t>
      </w:r>
    </w:p>
    <w:p>
      <w:pPr>
        <w:spacing w:after="20" w:before="0"/>
      </w:pPr>
      <w:r>
        <w:rPr>
          <w:b/>
          <w:color w:val="B45F06"/>
        </w:rPr>
        <w:t xml:space="preserve">⚠️ Exam Trap: </w:t>
      </w:r>
      <w:r>
        <w:t>CPP = MAP − ICP. Too low = ischemia; too high = edema/raised ICP.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TBI: maintain CPP 60–70 mmHg, ICP &lt; 20 mmHg.</w:t>
      </w:r>
    </w:p>
    <w:p>
      <w:pPr>
        <w:spacing w:after="0" w:before="0"/>
      </w:pPr>
      <w:r>
        <w:rPr>
          <w:b/>
          <w:i w:val="0"/>
          <w:sz w:val="21"/>
        </w:rPr>
        <w:t>Positive Marks: 1    Negative Marks: 0.25</w:t>
      </w:r>
    </w:p>
    <w:p>
      <w:pPr>
        <w:spacing w:before="280" w:after="40"/>
      </w:pPr>
      <w:r>
        <w:rPr>
          <w:b/>
        </w:rPr>
        <w:t xml:space="preserve">Question: </w:t>
      </w:r>
      <w:r>
        <w:t>The cause of endocarditis is:</w:t>
      </w:r>
    </w:p>
    <w:p>
      <w:pPr>
        <w:spacing w:after="20" w:before="0"/>
      </w:pPr>
      <w:r>
        <w:rPr>
          <w:b w:val="0"/>
          <w:i w:val="0"/>
          <w:sz w:val="21"/>
        </w:rPr>
        <w:t>(a)  Proteus</w:t>
      </w:r>
    </w:p>
    <w:p>
      <w:pPr>
        <w:spacing w:after="20" w:before="0"/>
      </w:pPr>
      <w:r>
        <w:rPr>
          <w:b w:val="0"/>
          <w:i w:val="0"/>
          <w:sz w:val="21"/>
        </w:rPr>
        <w:t>(b)  Beta hemolytic Streptococcus</w:t>
      </w:r>
    </w:p>
    <w:p>
      <w:pPr>
        <w:spacing w:after="20" w:before="0"/>
      </w:pPr>
      <w:r>
        <w:rPr>
          <w:b w:val="0"/>
          <w:i w:val="0"/>
          <w:sz w:val="21"/>
        </w:rPr>
        <w:t>(c)  Pseudomonas</w:t>
      </w:r>
    </w:p>
    <w:p>
      <w:pPr>
        <w:spacing w:after="20" w:before="0"/>
      </w:pPr>
      <w:r>
        <w:rPr>
          <w:b w:val="0"/>
          <w:i w:val="0"/>
          <w:sz w:val="21"/>
        </w:rPr>
        <w:t>(d)  E. coli</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classical cause of (acute) infective endocarditis is BETA-HEMOLYTIC STREPTOCOCCUS (Group A) along with Staphylococcus aureus; subacute endocarditis is typically caused by viridans streptococci. Proteus, Pseudomonas and E. coli are gram-negative organisms not classically associated with endocarditis.</w:t>
      </w:r>
    </w:p>
    <w:p>
      <w:pPr>
        <w:spacing w:after="20" w:before="0"/>
      </w:pPr>
      <w:r>
        <w:rPr>
          <w:b/>
        </w:rPr>
        <w:t xml:space="preserve">🔍 Key Clues: </w:t>
      </w:r>
      <w:r>
        <w:t>Endocarditis organisms: Strep viridans (subacute), Staph aureus &amp; beta-hemolytic Strep (acute).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Proteus is a gram-negative urinary/pyogenic organism, not a classic endocarditis cause. | c — Pseudomonas is seen in prosthetic valve/IVDU endocarditis but not the classic answer. | d — E. coli is not a classic endocarditis organism.</w:t>
      </w:r>
    </w:p>
    <w:p>
      <w:pPr>
        <w:spacing w:after="20" w:before="0"/>
      </w:pPr>
      <w:r>
        <w:rPr>
          <w:b/>
          <w:color w:val="B45F06"/>
        </w:rPr>
        <w:t xml:space="preserve">⚠️ Exam Trap: </w:t>
      </w:r>
      <w:r>
        <w:t>Streptococcus viridans (subacute) and Staph aureus/beta-hemolytic Strep (acute) are the anchor organisms.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Infective endocarditis: viridans strep (subacute), S. aureus &amp; beta-hemolytic strep (acute).</w:t>
      </w:r>
    </w:p>
    <w:p>
      <w:pPr>
        <w:spacing w:after="0" w:before="0"/>
      </w:pPr>
      <w:r>
        <w:rPr>
          <w:b/>
          <w:i w:val="0"/>
          <w:sz w:val="21"/>
        </w:rPr>
        <w:t>Positive Marks: 1    Negative Marks: 0.25</w:t>
      </w:r>
    </w:p>
    <w:p>
      <w:pPr>
        <w:spacing w:before="280" w:after="40"/>
      </w:pPr>
      <w:r>
        <w:rPr>
          <w:b/>
        </w:rPr>
        <w:t xml:space="preserve">Question: </w:t>
      </w:r>
      <w:r>
        <w:t>Trendelenburg gait is seen in which of the following condition?</w:t>
      </w:r>
    </w:p>
    <w:p>
      <w:pPr>
        <w:spacing w:after="20" w:before="0"/>
      </w:pPr>
      <w:r>
        <w:rPr>
          <w:b w:val="0"/>
          <w:i w:val="0"/>
          <w:sz w:val="21"/>
        </w:rPr>
        <w:t>(a)  Hip abductor weakness.</w:t>
      </w:r>
    </w:p>
    <w:p>
      <w:pPr>
        <w:spacing w:after="20" w:before="0"/>
      </w:pPr>
      <w:r>
        <w:rPr>
          <w:b w:val="0"/>
          <w:i w:val="0"/>
          <w:sz w:val="21"/>
        </w:rPr>
        <w:t>(b)  Gluteus medius muscle weakness</w:t>
      </w:r>
    </w:p>
    <w:p>
      <w:pPr>
        <w:spacing w:after="20" w:before="0"/>
      </w:pPr>
      <w:r>
        <w:rPr>
          <w:b w:val="0"/>
          <w:i w:val="0"/>
          <w:sz w:val="21"/>
        </w:rPr>
        <w:t>(c)  Coxa vera</w:t>
      </w:r>
    </w:p>
    <w:p>
      <w:pPr>
        <w:spacing w:after="20" w:before="0"/>
      </w:pPr>
      <w:r>
        <w:rPr>
          <w:b w:val="0"/>
          <w:i w:val="0"/>
          <w:sz w:val="21"/>
        </w:rPr>
        <w:t>(d)  All of the above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TRENDELENBURG GAIT (pelvis drops to the unsupported side during the stance phase) results from weakness of the HIP ABDUCTORS — chiefly GLUTEUS MEDIUS — and occurs in coxa vara, congenital hip dislocation, poliomyelitis and gluteal paralysis. Hence ALL of the above are correct.</w:t>
      </w:r>
    </w:p>
    <w:p>
      <w:pPr>
        <w:spacing w:after="20" w:before="0"/>
      </w:pPr>
      <w:r>
        <w:rPr>
          <w:b/>
        </w:rPr>
        <w:t xml:space="preserve">🔍 Key Clues: </w:t>
      </w:r>
      <w:r>
        <w:t>Trendelenburg gait = hip abductor/gluteus medius weakness (coxa vara, CDH).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Hip abductor weakness causes the Trendelenburg sign — true. | b — Gluteus medius weakness is the prime cause — true. | c — Coxa vara shortens the abductor lever arm — true.</w:t>
      </w:r>
    </w:p>
    <w:p>
      <w:pPr>
        <w:spacing w:after="20" w:before="0"/>
      </w:pPr>
      <w:r>
        <w:rPr>
          <w:b/>
          <w:color w:val="B45F06"/>
        </w:rPr>
        <w:t xml:space="preserve">⚠️ Exam Trap: </w:t>
      </w:r>
      <w:r>
        <w:t>Trendelenburg = 'dropping pelvis on the swing side'; test with single-leg stance.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Trendelenburg gait: hip abductor/gluteus medius weakness (coxa vara, CDH, polio).</w:t>
      </w:r>
    </w:p>
    <w:p>
      <w:pPr>
        <w:spacing w:after="0" w:before="0"/>
      </w:pPr>
      <w:r>
        <w:rPr>
          <w:b/>
          <w:i w:val="0"/>
          <w:sz w:val="21"/>
        </w:rPr>
        <w:t>Positive Marks: 1    Negative Marks: 0.25</w:t>
      </w:r>
    </w:p>
    <w:p>
      <w:pPr>
        <w:spacing w:before="280" w:after="40"/>
      </w:pPr>
      <w:r>
        <w:rPr>
          <w:b/>
        </w:rPr>
        <w:t xml:space="preserve">Question: </w:t>
      </w:r>
      <w:r>
        <w:t>The most common cause of pyogenic meningitis in adults is:</w:t>
      </w:r>
    </w:p>
    <w:p>
      <w:pPr>
        <w:spacing w:after="20" w:before="0"/>
      </w:pPr>
      <w:r>
        <w:rPr>
          <w:b w:val="0"/>
          <w:i w:val="0"/>
          <w:sz w:val="21"/>
        </w:rPr>
        <w:t>(a)  N. meningitidis</w:t>
      </w:r>
    </w:p>
    <w:p>
      <w:pPr>
        <w:spacing w:after="20" w:before="0"/>
      </w:pPr>
      <w:r>
        <w:rPr>
          <w:b w:val="0"/>
          <w:i w:val="0"/>
          <w:sz w:val="21"/>
        </w:rPr>
        <w:t>(b)  E. coli</w:t>
      </w:r>
    </w:p>
    <w:p>
      <w:pPr>
        <w:spacing w:after="20" w:before="0"/>
      </w:pPr>
      <w:r>
        <w:rPr>
          <w:b w:val="0"/>
          <w:i w:val="0"/>
          <w:sz w:val="21"/>
        </w:rPr>
        <w:t>(c)  Beta hemolytic streptococcus</w:t>
      </w:r>
    </w:p>
    <w:p>
      <w:pPr>
        <w:spacing w:after="20" w:before="0"/>
      </w:pPr>
      <w:r>
        <w:rPr>
          <w:b w:val="0"/>
          <w:i w:val="0"/>
          <w:sz w:val="21"/>
        </w:rPr>
        <w:t>(d)  Haemophilus influenzae type B</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ADULTS, NEISSERIA MENINGITIDIS is the most common cause of pyogenic (bacterial) meningitis; Streptococcus pneumoniae is the other leading adult pathogen. In NEONATES, E. coli and group B Streptococcus dominate; Haemophilus influenzae type b classically caused childhood meningitis (now reduced by Hib vaccine).</w:t>
      </w:r>
    </w:p>
    <w:p>
      <w:pPr>
        <w:spacing w:after="20" w:before="0"/>
      </w:pPr>
      <w:r>
        <w:rPr>
          <w:b/>
        </w:rPr>
        <w:t xml:space="preserve">🔍 Key Clues: </w:t>
      </w:r>
      <w:r>
        <w:t>Pyogenic meningitis by age: adults = N. meningitidis / pneumococcus; neonates = E. coli, GBS.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 coli is a neonatal cause, not the adult one. | c — Beta-hemolytic strep (GBS) is a neonatal cause. | d — Hib is a childhood cause (vaccine-preventable).</w:t>
      </w:r>
    </w:p>
    <w:p>
      <w:pPr>
        <w:spacing w:after="20" w:before="0"/>
      </w:pPr>
      <w:r>
        <w:rPr>
          <w:b/>
          <w:color w:val="B45F06"/>
        </w:rPr>
        <w:t xml:space="preserve">⚠️ Exam Trap: </w:t>
      </w:r>
      <w:r>
        <w:t>Age split: neonate = E. coli/GBS; child = H. influenzae/pneumococcus; adult = meningococcus/pneumococcus.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Adult pyogenic meningitis: N. meningitidis (and S. pneumoniae); neonatal: E. coli/GBS.</w:t>
      </w:r>
    </w:p>
    <w:p>
      <w:pPr>
        <w:spacing w:after="0" w:before="0"/>
      </w:pPr>
      <w:r>
        <w:rPr>
          <w:b/>
          <w:i w:val="0"/>
          <w:sz w:val="21"/>
        </w:rPr>
        <w:t>Positive Marks: 1    Negative Marks: 0.25</w:t>
      </w:r>
    </w:p>
    <w:p>
      <w:pPr>
        <w:spacing w:before="280" w:after="40"/>
      </w:pPr>
      <w:r>
        <w:rPr>
          <w:b/>
        </w:rPr>
        <w:t xml:space="preserve">Question: </w:t>
      </w:r>
      <w:r>
        <w:t>A pregnant client comes to the office for her first prenatal examination at 10 weeks. She has been pregnant twice before; the first delivery produced a viable baby girl at 39 weeks 3 years ago; the second pregnancy produced a viable baby boy at 36 weeks 2 years ago. Both children are living and well. Using the GTPAL system to record her obstetrical history, the nurse should record:</w:t>
      </w:r>
    </w:p>
    <w:p>
      <w:pPr>
        <w:spacing w:after="20" w:before="0"/>
      </w:pPr>
      <w:r>
        <w:rPr>
          <w:b w:val="0"/>
          <w:i w:val="0"/>
          <w:sz w:val="21"/>
        </w:rPr>
        <w:t>(a)  3-2-0-0-2</w:t>
      </w:r>
    </w:p>
    <w:p>
      <w:pPr>
        <w:spacing w:after="20" w:before="0"/>
      </w:pPr>
      <w:r>
        <w:rPr>
          <w:b w:val="0"/>
          <w:i w:val="0"/>
          <w:sz w:val="21"/>
        </w:rPr>
        <w:t>(b)  2-2-0-2-2</w:t>
      </w:r>
    </w:p>
    <w:p>
      <w:pPr>
        <w:spacing w:after="20" w:before="0"/>
      </w:pPr>
      <w:r>
        <w:rPr>
          <w:b w:val="0"/>
          <w:i w:val="0"/>
          <w:sz w:val="21"/>
        </w:rPr>
        <w:t>(c)  3-1-1-0-2</w:t>
      </w:r>
    </w:p>
    <w:p>
      <w:pPr>
        <w:spacing w:after="20" w:before="0"/>
      </w:pPr>
      <w:r>
        <w:rPr>
          <w:b w:val="0"/>
          <w:i w:val="0"/>
          <w:sz w:val="21"/>
        </w:rPr>
        <w:t>(d)  2-1-1-0-2</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GTPAL: G = total pregnancies (current + 2 previous = 3); T = term births (39-week delivery = 1); P = preterm births (36-week delivery = 1); A = abortions (0); L = living children (2). Therefore 3-1-1-0-2.</w:t>
      </w:r>
    </w:p>
    <w:p>
      <w:pPr>
        <w:spacing w:after="20" w:before="0"/>
      </w:pPr>
      <w:r>
        <w:rPr>
          <w:b/>
        </w:rPr>
        <w:t xml:space="preserve">🔍 Key Clues: </w:t>
      </w:r>
      <w:r>
        <w:t>G3: one term (39 wk) + one preterm (36 wk) + current pregnancy; A0; L2 → 3-1-1-0-2.</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3-2-0-0-2 misclassifies the 36-week birth as term. | b — 2-2-0-2-2 omits the current pregnancy. | d — 2-1-1-0-2 undercounts the total pregnancies.</w:t>
      </w:r>
    </w:p>
    <w:p>
      <w:pPr>
        <w:spacing w:after="20" w:before="0"/>
      </w:pPr>
      <w:r>
        <w:rPr>
          <w:b/>
          <w:color w:val="B45F06"/>
        </w:rPr>
        <w:t xml:space="preserve">⚠️ Exam Trap: </w:t>
      </w:r>
      <w:r>
        <w:t>Term = ≥ 37 weeks; preterm = 20–36½ weeks. The current pregnancy counts in 'G' but not in T/P.</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GTPAL: G3 T1 P1 A0 L2 — term 39 wk, preterm 36 wk, 2 living children.</w:t>
      </w:r>
    </w:p>
    <w:p>
      <w:pPr>
        <w:spacing w:after="0" w:before="0"/>
      </w:pPr>
      <w:r>
        <w:rPr>
          <w:b/>
          <w:i w:val="0"/>
          <w:sz w:val="21"/>
        </w:rPr>
        <w:t>Positive Marks: 1    Negative Marks: 0.25</w:t>
      </w:r>
    </w:p>
    <w:p>
      <w:pPr>
        <w:spacing w:before="280" w:after="40"/>
      </w:pPr>
      <w:r>
        <w:rPr>
          <w:b/>
        </w:rPr>
        <w:t xml:space="preserve">Question: </w:t>
      </w:r>
      <w:r>
        <w:t>A 35-weeks-pregnant client is undergoing a nonstress test (NST). During the 20-minute examination, the nurse notes three fetal movements accompanied by accelerations of the fetal heart rate, each 15 bpm, lasting for 15 seconds. The nurse interprets this test to be:</w:t>
      </w:r>
    </w:p>
    <w:p>
      <w:pPr>
        <w:spacing w:after="20" w:before="0"/>
      </w:pPr>
      <w:r>
        <w:rPr>
          <w:b w:val="0"/>
          <w:i w:val="0"/>
          <w:sz w:val="21"/>
        </w:rPr>
        <w:t>(a)  Nonreactive</w:t>
      </w:r>
    </w:p>
    <w:p>
      <w:pPr>
        <w:spacing w:after="20" w:before="0"/>
      </w:pPr>
      <w:r>
        <w:rPr>
          <w:b w:val="0"/>
          <w:i w:val="0"/>
          <w:sz w:val="21"/>
        </w:rPr>
        <w:t>(b)  Reactive</w:t>
      </w:r>
    </w:p>
    <w:p>
      <w:pPr>
        <w:spacing w:after="20" w:before="0"/>
      </w:pPr>
      <w:r>
        <w:rPr>
          <w:b w:val="0"/>
          <w:i w:val="0"/>
          <w:sz w:val="21"/>
        </w:rPr>
        <w:t>(c)  Positive</w:t>
      </w:r>
    </w:p>
    <w:p>
      <w:pPr>
        <w:spacing w:after="20" w:before="0"/>
      </w:pPr>
      <w:r>
        <w:rPr>
          <w:b w:val="0"/>
          <w:i w:val="0"/>
          <w:sz w:val="21"/>
        </w:rPr>
        <w:t>(d)  Negative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REACTIVE NST requires at least TWO fetal heart-rate ACCELERATIONS of ≥ 15 bpm above baseline, each lasting ≥ 15 seconds, within a 20-minute window. This tracing shows three such accelerations — clearly REACTIVE and reassuring.</w:t>
      </w:r>
    </w:p>
    <w:p>
      <w:pPr>
        <w:spacing w:after="20" w:before="0"/>
      </w:pPr>
      <w:r>
        <w:rPr>
          <w:b/>
        </w:rPr>
        <w:t xml:space="preserve">🔍 Key Clues: </w:t>
      </w:r>
      <w:r>
        <w:t>Reactive NST = ≥ 2 accelerations (15 bpm × 15 s) in 20 min.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Nonreactive = inadequate accelerations in 20 min. | c — Positive/negative are not NST terms (used for CST/contraction stress). | d — Not NST terminology.</w:t>
      </w:r>
    </w:p>
    <w:p>
      <w:pPr>
        <w:spacing w:after="20" w:before="0"/>
      </w:pPr>
      <w:r>
        <w:rPr>
          <w:b/>
          <w:color w:val="B45F06"/>
        </w:rPr>
        <w:t xml:space="preserve">⚠️ Exam Trap: </w:t>
      </w:r>
      <w:r>
        <w:t>NST is reported Reactive or Nonreactive; Positive/Negative belong to the contraction stress test.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Reactive NST: ≥ 2 accelerations of 15 bpm × 15 s in 20 minutes.</w:t>
      </w:r>
    </w:p>
    <w:p>
      <w:pPr>
        <w:spacing w:after="0" w:before="0"/>
      </w:pPr>
      <w:r>
        <w:rPr>
          <w:b/>
          <w:i w:val="0"/>
          <w:sz w:val="21"/>
        </w:rPr>
        <w:t>Positive Marks: 1    Negative Marks: 0.25</w:t>
      </w:r>
    </w:p>
    <w:p>
      <w:pPr>
        <w:spacing w:before="280" w:after="40"/>
      </w:pPr>
      <w:r>
        <w:rPr>
          <w:b/>
        </w:rPr>
        <w:t xml:space="preserve">Question: </w:t>
      </w:r>
      <w:r>
        <w:t>A pregnant client continues to visit the clinic regularly during her pregnancy. During one of her visits while lying supine on the examining table, she tells the RN that she is becoming light-headed. The RN notices that the client has pallor in her face and is perspiring profusely. The first intervention the RN should initiate is to:</w:t>
      </w:r>
    </w:p>
    <w:p>
      <w:pPr>
        <w:spacing w:after="20" w:before="0"/>
      </w:pPr>
      <w:r>
        <w:rPr>
          <w:b w:val="0"/>
          <w:i w:val="0"/>
          <w:sz w:val="21"/>
        </w:rPr>
        <w:t>(a)  Place the examining table in the Trendelenburg position</w:t>
      </w:r>
    </w:p>
    <w:p>
      <w:pPr>
        <w:spacing w:after="20" w:before="0"/>
      </w:pPr>
      <w:r>
        <w:rPr>
          <w:b w:val="0"/>
          <w:i w:val="0"/>
          <w:sz w:val="21"/>
        </w:rPr>
        <w:t>(b)  Assess the client to see if she is having vaginal bleeding</w:t>
      </w:r>
    </w:p>
    <w:p>
      <w:pPr>
        <w:spacing w:after="20" w:before="0"/>
      </w:pPr>
      <w:r>
        <w:rPr>
          <w:b w:val="0"/>
          <w:i w:val="0"/>
          <w:sz w:val="21"/>
        </w:rPr>
        <w:t>(c)  Obtain the client’s vital signs immediately</w:t>
      </w:r>
    </w:p>
    <w:p>
      <w:pPr>
        <w:spacing w:after="20" w:before="0"/>
      </w:pPr>
      <w:r>
        <w:rPr>
          <w:b w:val="0"/>
          <w:i w:val="0"/>
          <w:sz w:val="21"/>
        </w:rPr>
        <w:t>(d)  Help the client to a sitting position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Light-headedness, pallor and diaphoresis while lying supine in the third trimester = SUPINE HYPOTENSION SYNDROME — the gravid uterus compresses the inferior vena cava, reducing venous return. The FIRST intervention is to RELIEVE the aortocaval compression: help the client to a sitting position (or turn her to the LEFT side), then reassess.</w:t>
      </w:r>
    </w:p>
    <w:p>
      <w:pPr>
        <w:spacing w:after="20" w:before="0"/>
      </w:pPr>
      <w:r>
        <w:rPr>
          <w:b/>
        </w:rPr>
        <w:t xml:space="preserve">🔍 Key Clues: </w:t>
      </w:r>
      <w:r>
        <w:t>Supine light-headedness in pregnancy = aortocaval compression → sit up / left lateral.</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Trendelenburg worsens uterine compression of the IVC. | b — Vaginal bleeding is not the cause of this presentation. | c — Vitals are checked after repositioning.</w:t>
      </w:r>
    </w:p>
    <w:p>
      <w:pPr>
        <w:spacing w:after="20" w:before="0"/>
      </w:pPr>
      <w:r>
        <w:rPr>
          <w:b/>
          <w:color w:val="B45F06"/>
        </w:rPr>
        <w:t xml:space="preserve">⚠️ Exam Trap: </w:t>
      </w:r>
      <w:r>
        <w:t>Never leave a pregnant client flat on her back — 'left lateral or sit up' is the immediate fix.</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Supine hypotension in pregnancy → help the client sit up / turn to the left side.</w:t>
      </w:r>
    </w:p>
    <w:p>
      <w:pPr>
        <w:spacing w:after="0" w:before="0"/>
      </w:pPr>
      <w:r>
        <w:rPr>
          <w:b/>
          <w:i w:val="0"/>
          <w:sz w:val="21"/>
        </w:rPr>
        <w:t>Positive Marks: 1    Negative Marks: 0.25</w:t>
      </w:r>
    </w:p>
    <w:p>
      <w:pPr>
        <w:spacing w:before="280" w:after="40"/>
      </w:pPr>
      <w:r>
        <w:rPr>
          <w:b/>
        </w:rPr>
        <w:t xml:space="preserve">Question: </w:t>
      </w:r>
      <w:r>
        <w:t>A patient in 28-week gestation is receiving labetalol and magnesium sulfate for her pre-eclampsia treatment. On checking her BP, you find that it is 86/56. The most likely cause of this finding is:</w:t>
      </w:r>
    </w:p>
    <w:p>
      <w:pPr>
        <w:spacing w:after="20" w:before="0"/>
      </w:pPr>
      <w:r>
        <w:rPr>
          <w:b w:val="0"/>
          <w:i w:val="0"/>
          <w:sz w:val="21"/>
        </w:rPr>
        <w:t>(a)  False BP reading</w:t>
      </w:r>
    </w:p>
    <w:p>
      <w:pPr>
        <w:spacing w:after="20" w:before="0"/>
      </w:pPr>
      <w:r>
        <w:rPr>
          <w:b w:val="0"/>
          <w:i w:val="0"/>
          <w:sz w:val="21"/>
        </w:rPr>
        <w:t>(b)  Accidental overdose of labetalol</w:t>
      </w:r>
    </w:p>
    <w:p>
      <w:pPr>
        <w:spacing w:after="20" w:before="0"/>
      </w:pPr>
      <w:r>
        <w:rPr>
          <w:b w:val="0"/>
          <w:i w:val="0"/>
          <w:sz w:val="21"/>
        </w:rPr>
        <w:t>(c)  Patient is anxious</w:t>
      </w:r>
    </w:p>
    <w:p>
      <w:pPr>
        <w:spacing w:after="20" w:before="0"/>
      </w:pPr>
      <w:r>
        <w:rPr>
          <w:b w:val="0"/>
          <w:i w:val="0"/>
          <w:sz w:val="21"/>
        </w:rPr>
        <w:t>(d)  Magnesium toxicity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MAGNESIUM SULFATE is a smooth-muscle relaxant/vasodilator; MAGNESIUM TOXICITY causes hypotension, flushing, loss of deep tendon reflexes, respiratory depression and cardiac arrest as serum levels rise. A BP of 86/56 in a pre-eclamptic on MgSO4 most likely reflects magnesium toxicity — stop the infusion, give calcium gluconate and monitor.</w:t>
      </w:r>
    </w:p>
    <w:p>
      <w:pPr>
        <w:spacing w:after="20" w:before="0"/>
      </w:pPr>
      <w:r>
        <w:rPr>
          <w:b/>
        </w:rPr>
        <w:t xml:space="preserve">🔍 Key Clues: </w:t>
      </w:r>
      <w:r>
        <w:t>MgSO4 toxicity: hypotension, absent DTRs, respiratory depression, bradycardia.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single false reading is less likely than the drug effect. | b — Labetalol overdose is possible but MgSO4 toxicity is the classic answer. | c — Anxiety raises, not lowers, BP.</w:t>
      </w:r>
    </w:p>
    <w:p>
      <w:pPr>
        <w:spacing w:after="20" w:before="0"/>
      </w:pPr>
      <w:r>
        <w:rPr>
          <w:b/>
          <w:color w:val="B45F06"/>
        </w:rPr>
        <w:t xml:space="preserve">⚠️ Exam Trap: </w:t>
      </w:r>
      <w:r>
        <w:t>Magnesium toxicity ladder: loss of DTRs (first) → respiratory depression → arrest. Antidote = calcium gluconate.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MgSO4 toxicity → hypotension, lost DTRs; treat with IV calcium gluconate.</w:t>
      </w:r>
    </w:p>
    <w:p>
      <w:pPr>
        <w:spacing w:after="0" w:before="0"/>
      </w:pPr>
      <w:r>
        <w:rPr>
          <w:b/>
          <w:i w:val="0"/>
          <w:sz w:val="21"/>
        </w:rPr>
        <w:t>Positive Marks: 1    Negative Marks: 0.25</w:t>
      </w:r>
    </w:p>
    <w:p>
      <w:pPr>
        <w:spacing w:before="280" w:after="40"/>
      </w:pPr>
      <w:r>
        <w:rPr>
          <w:b/>
        </w:rPr>
        <w:t xml:space="preserve">Question: </w:t>
      </w:r>
      <w:r>
        <w:t>A pregnant woman at 28 weeks of gestation visited antenatal clinic at a primary health center for the first time. Her hemoglobin level was found to be 9 g. The management will include:</w:t>
      </w:r>
    </w:p>
    <w:p>
      <w:pPr>
        <w:spacing w:after="20" w:before="0"/>
      </w:pPr>
      <w:r>
        <w:rPr>
          <w:b w:val="0"/>
          <w:i w:val="0"/>
          <w:sz w:val="21"/>
        </w:rPr>
        <w:t>(a)  Tablet iron folic acid—one tablet (containing 60 mg elemental iron and 500 microgram of Folic acid) daily</w:t>
      </w:r>
    </w:p>
    <w:p>
      <w:pPr>
        <w:spacing w:after="20" w:before="0"/>
      </w:pPr>
      <w:r>
        <w:rPr>
          <w:b w:val="0"/>
          <w:i w:val="0"/>
          <w:sz w:val="21"/>
        </w:rPr>
        <w:t>(b)  Tablet iron folic acid—one tablet (containing 50 mg elemental iron and 500 microgram of Folic acid) weekly</w:t>
      </w:r>
    </w:p>
    <w:p>
      <w:pPr>
        <w:spacing w:after="20" w:before="0"/>
      </w:pPr>
      <w:r>
        <w:rPr>
          <w:b w:val="0"/>
          <w:i w:val="0"/>
          <w:sz w:val="21"/>
        </w:rPr>
        <w:t>(c)  Blood Transfusion</w:t>
      </w:r>
    </w:p>
    <w:p>
      <w:pPr>
        <w:spacing w:after="20" w:before="0"/>
      </w:pPr>
      <w:r>
        <w:rPr>
          <w:b w:val="0"/>
          <w:i w:val="0"/>
          <w:sz w:val="21"/>
        </w:rPr>
        <w:t>(d)  Tablet iron folic acid—two tablet (containing 60 mg elemental iron and 500 microgram of Folic acid) daily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Under Anemia Mukt Bharat, pregnant women with Hb 8–10 g/dL (MODERATE anaemia) receive TWO IFA tablets daily (each with 60 mg elemental iron + 500 mcg folic acid); mild anaemia (Hb ≥ 10) gets one tablet daily. Hb 9 g/dL is moderate anaemia → two tablets daily. Blood transfusion is reserved for severe anaemia (Hb &lt; 7) with symptoms.</w:t>
      </w:r>
    </w:p>
    <w:p>
      <w:pPr>
        <w:spacing w:after="20" w:before="0"/>
      </w:pPr>
      <w:r>
        <w:rPr>
          <w:b/>
        </w:rPr>
        <w:t xml:space="preserve">🔍 Key Clues: </w:t>
      </w:r>
      <w:r>
        <w:t>Anemia Mukt Bharat: Hb 8-10 = 2 IFA tablets daily; Hb ≥ 10 = 1 tablet daily; Hb &lt; 7 = transfusion.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One tablet daily is for mild anaemia (Hb ≥ 10). | b — Weekly dosing is for adolescents/school children, not pregnancy. | c — Transfusion is for severe anaemia with complications.</w:t>
      </w:r>
    </w:p>
    <w:p>
      <w:pPr>
        <w:spacing w:after="20" w:before="0"/>
      </w:pPr>
      <w:r>
        <w:rPr>
          <w:b/>
          <w:color w:val="B45F06"/>
        </w:rPr>
        <w:t xml:space="preserve">⚠️ Exam Trap: </w:t>
      </w:r>
      <w:r>
        <w:t>Pregnancy IFA: 1 tablet daily (mild) vs 2 tablets daily (moderate, Hb 8-10) vs transfusion (severe).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Moderate anaemia in pregnancy (Hb 8-10): two IFA tablets daily.</w:t>
      </w:r>
    </w:p>
    <w:p>
      <w:pPr>
        <w:spacing w:after="0" w:before="0"/>
      </w:pPr>
      <w:r>
        <w:rPr>
          <w:b/>
          <w:i w:val="0"/>
          <w:sz w:val="21"/>
        </w:rPr>
        <w:t>Positive Marks: 1    Negative Marks: 0.25</w:t>
      </w:r>
    </w:p>
    <w:p>
      <w:pPr>
        <w:spacing w:before="280" w:after="40"/>
      </w:pPr>
      <w:r>
        <w:rPr>
          <w:b/>
        </w:rPr>
        <w:t xml:space="preserve">Question: </w:t>
      </w:r>
      <w:r>
        <w:t>The given below statements are true about DMPA (Antara); except:</w:t>
      </w:r>
    </w:p>
    <w:p>
      <w:pPr>
        <w:spacing w:after="20" w:before="0"/>
      </w:pPr>
      <w:r>
        <w:rPr>
          <w:b w:val="0"/>
          <w:i w:val="0"/>
          <w:sz w:val="21"/>
        </w:rPr>
        <w:t>(a)  It is injectable</w:t>
      </w:r>
    </w:p>
    <w:p>
      <w:pPr>
        <w:spacing w:after="20" w:before="0"/>
      </w:pPr>
      <w:r>
        <w:rPr>
          <w:b w:val="0"/>
          <w:i w:val="0"/>
          <w:sz w:val="21"/>
        </w:rPr>
        <w:t>(b)  It is irreversible</w:t>
      </w:r>
    </w:p>
    <w:p>
      <w:pPr>
        <w:spacing w:after="20" w:before="0"/>
      </w:pPr>
      <w:r>
        <w:rPr>
          <w:b w:val="0"/>
          <w:i w:val="0"/>
          <w:sz w:val="21"/>
        </w:rPr>
        <w:t>(c)  Can be used in 15–45 years of age group</w:t>
      </w:r>
    </w:p>
    <w:p>
      <w:pPr>
        <w:spacing w:after="20" w:before="0"/>
      </w:pPr>
      <w:r>
        <w:rPr>
          <w:b w:val="0"/>
          <w:i w:val="0"/>
          <w:sz w:val="21"/>
        </w:rPr>
        <w:t>(d)  Provided by Government of India for free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DMPA (depot medroxyprogesterone acetate — marketed as ANTARA) is an INJECTABLE, REVERSIBLE progestin contraceptive given every 3 months, available free in government facilities for women aged 15–45 years. It is NOT irreversible — fertility returns (though with a delay of several months) after stopping.</w:t>
      </w:r>
    </w:p>
    <w:p>
      <w:pPr>
        <w:spacing w:after="20" w:before="0"/>
      </w:pPr>
      <w:r>
        <w:rPr>
          <w:b/>
        </w:rPr>
        <w:t xml:space="preserve">🔍 Key Clues: </w:t>
      </w:r>
      <w:r>
        <w:t>DMPA: injectable every 3 months, reversible, 15-45 years, free in govt facilities.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It is an injectable contraceptive — true. | c — Eligible age group is 15-45 years — true. | d — Provided free by the Government of India — true.</w:t>
      </w:r>
    </w:p>
    <w:p>
      <w:pPr>
        <w:spacing w:after="20" w:before="0"/>
      </w:pPr>
      <w:r>
        <w:rPr>
          <w:b/>
          <w:color w:val="B45F06"/>
        </w:rPr>
        <w:t xml:space="preserve">⚠️ Exam Trap: </w:t>
      </w:r>
      <w:r>
        <w:t>Permanent methods = tubectomy/vasectomy; DMPA is a reversible injectable (3-monthly).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DMPA (Antara): 3-monthly injectable progestin, reversible, free for 15-45 years.</w:t>
      </w:r>
    </w:p>
    <w:p>
      <w:pPr>
        <w:spacing w:after="0" w:before="0"/>
      </w:pPr>
      <w:r>
        <w:rPr>
          <w:b/>
          <w:i w:val="0"/>
          <w:sz w:val="21"/>
        </w:rPr>
        <w:t>Positive Marks: 1    Negative Marks: 0.25</w:t>
      </w:r>
    </w:p>
    <w:p>
      <w:pPr>
        <w:spacing w:before="280" w:after="40"/>
      </w:pPr>
      <w:r>
        <w:rPr>
          <w:b/>
        </w:rPr>
        <w:t xml:space="preserve">Question: </w:t>
      </w:r>
      <w:r>
        <w:t>A client is admitted in hospital for induction of labor owing to gestational age of 42 weeks confirmed by dates and ultrasound. When she has dilated 3 cm she has contractions of 70 sec. She is receiving IV oxytocin. Nurse priority intervention should be?</w:t>
      </w:r>
    </w:p>
    <w:p>
      <w:pPr>
        <w:spacing w:after="20" w:before="0"/>
      </w:pPr>
      <w:r>
        <w:rPr>
          <w:b w:val="0"/>
          <w:i w:val="0"/>
          <w:sz w:val="21"/>
        </w:rPr>
        <w:t>(a)  Stop IV oxytocin Infusion</w:t>
      </w:r>
    </w:p>
    <w:p>
      <w:pPr>
        <w:spacing w:after="20" w:before="0"/>
      </w:pPr>
      <w:r>
        <w:rPr>
          <w:b w:val="0"/>
          <w:i w:val="0"/>
          <w:sz w:val="21"/>
        </w:rPr>
        <w:t>(b)  Notify physician</w:t>
      </w:r>
    </w:p>
    <w:p>
      <w:pPr>
        <w:spacing w:after="20" w:before="0"/>
      </w:pPr>
      <w:r>
        <w:rPr>
          <w:b w:val="0"/>
          <w:i w:val="0"/>
          <w:sz w:val="21"/>
        </w:rPr>
        <w:t>(c)  Prepare for delivery</w:t>
      </w:r>
    </w:p>
    <w:p>
      <w:pPr>
        <w:spacing w:after="20" w:before="0"/>
      </w:pPr>
      <w:r>
        <w:rPr>
          <w:b w:val="0"/>
          <w:i w:val="0"/>
          <w:sz w:val="21"/>
        </w:rPr>
        <w:t>(d)  Check FHR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Contractions lasting 70 SECONDS indicate uterine HYPERSTIMULATION — a risk of uterine rupture and fetal hypoxia during oxytocin induction. The PRIORITY action is to STOP the oxytocin infusion immediately; notifying the physician follows. Continuing or preparing for delivery without stopping the infusion is unsafe.</w:t>
      </w:r>
    </w:p>
    <w:p>
      <w:pPr>
        <w:spacing w:after="20" w:before="0"/>
      </w:pPr>
      <w:r>
        <w:rPr>
          <w:b/>
        </w:rPr>
        <w:t xml:space="preserve">🔍 Key Clues: </w:t>
      </w:r>
      <w:r>
        <w:t>Oxytocin + contractions ≥ 70-90 s = hyperstimulation → STOP the infusion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Notify the physician after stopping the infusion. | c — Delivery preparation comes after managing hyperstimulation. | d — FHR monitoring continues, but stopping oxytocin is the priority.</w:t>
      </w:r>
    </w:p>
    <w:p>
      <w:pPr>
        <w:spacing w:after="20" w:before="0"/>
      </w:pPr>
      <w:r>
        <w:rPr>
          <w:b/>
          <w:color w:val="B45F06"/>
        </w:rPr>
        <w:t xml:space="preserve">⚠️ Exam Trap: </w:t>
      </w:r>
      <w:r>
        <w:t>Oxytocin rules: contractions &gt; 70-90 s, &gt; 5 in 10 min, or non-reassuring FHR → stop the infusion.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Oxytocin hyperstimulation (contraction &gt; 70 s) → stop infusion, then notify, monitor FHR.</w:t>
      </w:r>
    </w:p>
    <w:p>
      <w:pPr>
        <w:spacing w:after="0" w:before="0"/>
      </w:pPr>
      <w:r>
        <w:rPr>
          <w:b/>
          <w:i w:val="0"/>
          <w:sz w:val="21"/>
        </w:rPr>
        <w:t>Positive Marks: 1    Negative Marks: 0.25</w:t>
      </w:r>
    </w:p>
    <w:p>
      <w:pPr>
        <w:spacing w:before="280" w:after="40"/>
      </w:pPr>
      <w:r>
        <w:rPr>
          <w:b/>
        </w:rPr>
        <w:t xml:space="preserve">Question: </w:t>
      </w:r>
      <w:r>
        <w:t>A pregnant woman in active labor experienced spontaneous rupture of membrane. What will be the priority nursing intervention?</w:t>
      </w:r>
    </w:p>
    <w:p>
      <w:pPr>
        <w:spacing w:after="20" w:before="0"/>
      </w:pPr>
      <w:r>
        <w:rPr>
          <w:b w:val="0"/>
          <w:i w:val="0"/>
          <w:sz w:val="21"/>
        </w:rPr>
        <w:t>(a)  FHR assessment</w:t>
      </w:r>
    </w:p>
    <w:p>
      <w:pPr>
        <w:spacing w:after="20" w:before="0"/>
      </w:pPr>
      <w:r>
        <w:rPr>
          <w:b w:val="0"/>
          <w:i w:val="0"/>
          <w:sz w:val="21"/>
        </w:rPr>
        <w:t>(b)  Amniotic fluid color</w:t>
      </w:r>
    </w:p>
    <w:p>
      <w:pPr>
        <w:spacing w:after="20" w:before="0"/>
      </w:pPr>
      <w:r>
        <w:rPr>
          <w:b w:val="0"/>
          <w:i w:val="0"/>
          <w:sz w:val="21"/>
        </w:rPr>
        <w:t>(c)  Vital Signs of mother</w:t>
      </w:r>
    </w:p>
    <w:p>
      <w:pPr>
        <w:spacing w:after="20" w:before="0"/>
      </w:pPr>
      <w:r>
        <w:rPr>
          <w:b w:val="0"/>
          <w:i w:val="0"/>
          <w:sz w:val="21"/>
        </w:rPr>
        <w:t>(d)  Call the doctor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SPONTANEOUS RUPTURE OF MEMBRANES the PRIORITY is to assess the FETAL HEART RATE — to detect cord compression/prolapse (variable decelerations) and fetal distress, especially if the fluid is meconium-stained. Amniotic fluid colour and maternal vitals are important but secondary.</w:t>
      </w:r>
    </w:p>
    <w:p>
      <w:pPr>
        <w:spacing w:after="20" w:before="0"/>
      </w:pPr>
      <w:r>
        <w:rPr>
          <w:b/>
        </w:rPr>
        <w:t xml:space="preserve">🔍 Key Clues: </w:t>
      </w:r>
      <w:r>
        <w:t>SROM → first check FHR (cord prolapse risk), then fluid colour and maternal vitals.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Fluid colour is noted but after FHR. | c — Maternal vitals are secondary. | d — The doctor is informed based on FHR/fluid findings.</w:t>
      </w:r>
    </w:p>
    <w:p>
      <w:pPr>
        <w:spacing w:after="20" w:before="0"/>
      </w:pPr>
      <w:r>
        <w:rPr>
          <w:b/>
          <w:color w:val="B45F06"/>
        </w:rPr>
        <w:t xml:space="preserve">⚠️ Exam Trap: </w:t>
      </w:r>
      <w:r>
        <w:t>After ROM: FHR first (cord prolapse!) — meconium or cord presentation can change the plan.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After spontaneous ROM: assess FHR first, then fluid colour, then maternal vitals.</w:t>
      </w:r>
    </w:p>
    <w:p>
      <w:pPr>
        <w:spacing w:after="0" w:before="0"/>
      </w:pPr>
      <w:r>
        <w:rPr>
          <w:b/>
          <w:i w:val="0"/>
          <w:sz w:val="21"/>
        </w:rPr>
        <w:t>Positive Marks: 1    Negative Marks: 0.25</w:t>
      </w:r>
    </w:p>
    <w:p>
      <w:pPr>
        <w:spacing w:before="280" w:after="40"/>
      </w:pPr>
      <w:r>
        <w:rPr>
          <w:b/>
        </w:rPr>
        <w:t xml:space="preserve">Question: </w:t>
      </w:r>
      <w:r>
        <w:t>The nurse is performing a postdelivery assessment of a patient 2 hours after postpartum. The nurse documented that the uterus is soft and feels deviated toward right side, fundus two fingers above umbilicus. What will be the possible cause of this condition?</w:t>
      </w:r>
    </w:p>
    <w:p>
      <w:pPr>
        <w:spacing w:after="20" w:before="0"/>
      </w:pPr>
      <w:r>
        <w:rPr>
          <w:b w:val="0"/>
          <w:i w:val="0"/>
          <w:sz w:val="21"/>
        </w:rPr>
        <w:t>(a)  Hemorrhage</w:t>
      </w:r>
    </w:p>
    <w:p>
      <w:pPr>
        <w:spacing w:after="20" w:before="0"/>
      </w:pPr>
      <w:r>
        <w:rPr>
          <w:b w:val="0"/>
          <w:i w:val="0"/>
          <w:sz w:val="21"/>
        </w:rPr>
        <w:t>(b)  Involution</w:t>
      </w:r>
    </w:p>
    <w:p>
      <w:pPr>
        <w:spacing w:after="20" w:before="0"/>
      </w:pPr>
      <w:r>
        <w:rPr>
          <w:b w:val="0"/>
          <w:i w:val="0"/>
          <w:sz w:val="21"/>
        </w:rPr>
        <w:t>(c)  Infection</w:t>
      </w:r>
    </w:p>
    <w:p>
      <w:pPr>
        <w:spacing w:after="20" w:before="0"/>
      </w:pPr>
      <w:r>
        <w:rPr>
          <w:b w:val="0"/>
          <w:i w:val="0"/>
          <w:sz w:val="21"/>
        </w:rPr>
        <w:t>(d)  Bladder distention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SOFT uterus, DEVIATED to one side (usually the right) and ABOVE the umbilicus 2 hours after delivery is the classic sign of BLADDER DISTENTION — a full bladder pushes the uterus up and to the side and interferes with contraction, predisposing to postpartum hemorrhage. The nurse should help the mother void (catheterise if needed) and massage the fundus.</w:t>
      </w:r>
    </w:p>
    <w:p>
      <w:pPr>
        <w:spacing w:after="20" w:before="0"/>
      </w:pPr>
      <w:r>
        <w:rPr>
          <w:b/>
        </w:rPr>
        <w:t xml:space="preserve">🔍 Key Clues: </w:t>
      </w:r>
      <w:r>
        <w:t>Soft + deviated + high fundus after delivery = full bladder (distention).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Hemorrhage gives a boggy fundus but not the lateral deviation. | b — Involution is the normal descent of the fundus. | c — Infection presents with fever, lochia odour, tenderness.</w:t>
      </w:r>
    </w:p>
    <w:p>
      <w:pPr>
        <w:spacing w:after="20" w:before="0"/>
      </w:pPr>
      <w:r>
        <w:rPr>
          <w:b/>
          <w:color w:val="B45F06"/>
        </w:rPr>
        <w:t xml:space="preserve">⚠️ Exam Trap: </w:t>
      </w:r>
      <w:r>
        <w:t>Fundus deviated to the side + soft = empty the bladder FIRST — then reassess uterine tone.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Postpartum: soft uterus deviated upward/sideways = bladder distention → catheterise, massage fundus.</w:t>
      </w:r>
    </w:p>
    <w:p>
      <w:pPr>
        <w:spacing w:after="0" w:before="0"/>
      </w:pPr>
      <w:r>
        <w:rPr>
          <w:b/>
          <w:i w:val="0"/>
          <w:sz w:val="21"/>
        </w:rPr>
        <w:t>Positive Marks: 1    Negative Marks: 0.25</w:t>
      </w:r>
    </w:p>
    <w:p>
      <w:pPr>
        <w:spacing w:before="280" w:after="40"/>
      </w:pPr>
      <w:r>
        <w:rPr>
          <w:b/>
        </w:rPr>
        <w:t xml:space="preserve">Question: </w:t>
      </w:r>
      <w:r>
        <w:t>After normal vaginal delivery, a woman is shifted to postoperative ward. What is the first priority?</w:t>
      </w:r>
    </w:p>
    <w:p>
      <w:pPr>
        <w:spacing w:after="20" w:before="0"/>
      </w:pPr>
      <w:r>
        <w:rPr>
          <w:b w:val="0"/>
          <w:i w:val="0"/>
          <w:sz w:val="21"/>
        </w:rPr>
        <w:t>(a)  Observe bleeding and color of lochia</w:t>
      </w:r>
    </w:p>
    <w:p>
      <w:pPr>
        <w:spacing w:after="20" w:before="0"/>
      </w:pPr>
      <w:r>
        <w:rPr>
          <w:b w:val="0"/>
          <w:i w:val="0"/>
          <w:sz w:val="21"/>
        </w:rPr>
        <w:t>(b)  Start IV fluid</w:t>
      </w:r>
    </w:p>
    <w:p>
      <w:pPr>
        <w:spacing w:after="20" w:before="0"/>
      </w:pPr>
      <w:r>
        <w:rPr>
          <w:b w:val="0"/>
          <w:i w:val="0"/>
          <w:sz w:val="21"/>
        </w:rPr>
        <w:t>(c)  Check vital signs</w:t>
      </w:r>
    </w:p>
    <w:p>
      <w:pPr>
        <w:spacing w:after="20" w:before="0"/>
      </w:pPr>
      <w:r>
        <w:rPr>
          <w:b w:val="0"/>
          <w:i w:val="0"/>
          <w:sz w:val="21"/>
        </w:rPr>
        <w:t>(d)  Check pain level.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On admission to the postpartum ward the FIRST priority is to CHECK THE VITAL SIGNS (BP, pulse, temperature) — they are the earliest indicators of postpartum hemorrhage, shock or sepsis. Bleeding/lochia is observed immediately after (and continuously), IV fluids are given on order, and pain is assessed after stabilization.</w:t>
      </w:r>
    </w:p>
    <w:p>
      <w:pPr>
        <w:spacing w:after="20" w:before="0"/>
      </w:pPr>
      <w:r>
        <w:rPr>
          <w:b/>
        </w:rPr>
        <w:t xml:space="preserve">🔍 Key Clues: </w:t>
      </w:r>
      <w:r>
        <w:t>Postpartum admission: vitals first (detect shock/hemorrhage), then lochia, then comfort.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Lochia is observed, but vitals are checked first. | b — IV fluids are prescribed based on the assessment. | d — Pain assessment follows the initial stabilisation.</w:t>
      </w:r>
    </w:p>
    <w:p>
      <w:pPr>
        <w:spacing w:after="20" w:before="0"/>
      </w:pPr>
      <w:r>
        <w:rPr>
          <w:b/>
          <w:color w:val="B45F06"/>
        </w:rPr>
        <w:t xml:space="preserve">⚠️ Exam Trap: </w:t>
      </w:r>
      <w:r>
        <w:t>Vitals → fundus/lochia → pain — the standard immediate postpartum sequence.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Postpartum admission priority: vital signs first, then fundus/lochia and pain.</w:t>
      </w:r>
    </w:p>
    <w:p>
      <w:pPr>
        <w:spacing w:after="0" w:before="0"/>
      </w:pPr>
      <w:r>
        <w:rPr>
          <w:b/>
          <w:i w:val="0"/>
          <w:sz w:val="21"/>
        </w:rPr>
        <w:t>Positive Marks: 1    Negative Marks: 0.25</w:t>
      </w:r>
    </w:p>
    <w:p>
      <w:pPr>
        <w:spacing w:before="280" w:after="40"/>
      </w:pPr>
      <w:r>
        <w:rPr>
          <w:b/>
        </w:rPr>
        <w:t xml:space="preserve">Question: </w:t>
      </w:r>
      <w:r>
        <w:t>A client is being discharged with albuterol (Proventil) and beclomethasone dipropionate (Vanceril) to be administered via inhalation three times a day and at bedtime. Client teaching regarding the sequential order in which the drugs should be administered includes:</w:t>
      </w:r>
    </w:p>
    <w:p>
      <w:pPr>
        <w:spacing w:after="20" w:before="0"/>
      </w:pPr>
      <w:r>
        <w:rPr>
          <w:b w:val="0"/>
          <w:i w:val="0"/>
          <w:sz w:val="21"/>
        </w:rPr>
        <w:t>(a)  Glucocorticoid followed by the bronchodilator</w:t>
      </w:r>
    </w:p>
    <w:p>
      <w:pPr>
        <w:spacing w:after="20" w:before="0"/>
      </w:pPr>
      <w:r>
        <w:rPr>
          <w:b w:val="0"/>
          <w:i w:val="0"/>
          <w:sz w:val="21"/>
        </w:rPr>
        <w:t>(b)  Bronchodilator followed by the glucocorticoid</w:t>
      </w:r>
    </w:p>
    <w:p>
      <w:pPr>
        <w:spacing w:after="20" w:before="0"/>
      </w:pPr>
      <w:r>
        <w:rPr>
          <w:b w:val="0"/>
          <w:i w:val="0"/>
          <w:sz w:val="21"/>
        </w:rPr>
        <w:t>(c)  Alternate successive administrations</w:t>
      </w:r>
    </w:p>
    <w:p>
      <w:pPr>
        <w:spacing w:after="20" w:before="0"/>
      </w:pPr>
      <w:r>
        <w:rPr>
          <w:b w:val="0"/>
          <w:i w:val="0"/>
          <w:sz w:val="21"/>
        </w:rPr>
        <w:t>(d)  According to the client’s preference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BRONCHODILATOR (albuterol) should be inhaled FIRST to open the airways, followed by the GLUCOCORTICOID (beclomethasone) so the steroid reaches the deeper airways. Rinsing the mouth after the steroid prevents oral candidiasis.</w:t>
      </w:r>
    </w:p>
    <w:p>
      <w:pPr>
        <w:spacing w:after="20" w:before="0"/>
      </w:pPr>
      <w:r>
        <w:rPr>
          <w:b/>
        </w:rPr>
        <w:t xml:space="preserve">🔍 Key Clues: </w:t>
      </w:r>
      <w:r>
        <w:t>Inhaler order: bronchodilator first (opens airways) → steroid second (reaches deeper).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Steroid first would deposit mostly in constricted airways. | c — Alternating is not the standard sequence. | d — The order is prescribed by the drug’s mechanism, not preference.</w:t>
      </w:r>
    </w:p>
    <w:p>
      <w:pPr>
        <w:spacing w:after="20" w:before="0"/>
      </w:pPr>
      <w:r>
        <w:rPr>
          <w:b/>
          <w:color w:val="B45F06"/>
        </w:rPr>
        <w:t xml:space="preserve">⚠️ Exam Trap: </w:t>
      </w:r>
      <w:r>
        <w:t>'B before S': bronchodilator first, steroid second; rinse mouth after the steroid.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Inhaler sequence: bronchodilator → steroid (then rinse mouth).</w:t>
      </w:r>
    </w:p>
    <w:p>
      <w:pPr>
        <w:spacing w:after="0" w:before="0"/>
      </w:pPr>
      <w:r>
        <w:rPr>
          <w:b/>
          <w:i w:val="0"/>
          <w:sz w:val="21"/>
        </w:rPr>
        <w:t>Positive Marks: 1    Negative Marks: 0.25</w:t>
      </w:r>
    </w:p>
    <w:p>
      <w:pPr>
        <w:spacing w:before="280" w:after="40"/>
      </w:pPr>
      <w:r>
        <w:rPr>
          <w:b/>
        </w:rPr>
        <w:t xml:space="preserve">Question: </w:t>
      </w:r>
      <w:r>
        <w:t>Atropine can be used topically; except in:</w:t>
      </w:r>
    </w:p>
    <w:p>
      <w:pPr>
        <w:spacing w:after="20" w:before="0"/>
      </w:pPr>
      <w:r>
        <w:rPr>
          <w:b w:val="0"/>
          <w:i w:val="0"/>
          <w:sz w:val="21"/>
        </w:rPr>
        <w:t>(a)  Cataract</w:t>
      </w:r>
    </w:p>
    <w:p>
      <w:pPr>
        <w:spacing w:after="20" w:before="0"/>
      </w:pPr>
      <w:r>
        <w:rPr>
          <w:b w:val="0"/>
          <w:i w:val="0"/>
          <w:sz w:val="21"/>
        </w:rPr>
        <w:t>(b)  Corneal ulcer</w:t>
      </w:r>
    </w:p>
    <w:p>
      <w:pPr>
        <w:spacing w:after="20" w:before="0"/>
      </w:pPr>
      <w:r>
        <w:rPr>
          <w:b w:val="0"/>
          <w:i w:val="0"/>
          <w:sz w:val="21"/>
        </w:rPr>
        <w:t>(c)  Uveitis</w:t>
      </w:r>
    </w:p>
    <w:p>
      <w:pPr>
        <w:spacing w:after="20" w:before="0"/>
      </w:pPr>
      <w:r>
        <w:rPr>
          <w:b w:val="0"/>
          <w:i w:val="0"/>
          <w:sz w:val="21"/>
        </w:rPr>
        <w:t>(d)  Acute congestive glaucoma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Topical ATROPINE (a cycloplegic/mydriatic) is used in uveitis (to rest the iris and prevent adhesions), corneal ulcers and pre/post cataract surgery. It is CONTRAINDICATED in ACUTE CONGESTIVE (angle-closure) GLAUCOMA because pupillary dilation can precipitate an acute rise in intraocular pressure.</w:t>
      </w:r>
    </w:p>
    <w:p>
      <w:pPr>
        <w:spacing w:after="20" w:before="0"/>
      </w:pPr>
      <w:r>
        <w:rPr>
          <w:b/>
        </w:rPr>
        <w:t xml:space="preserve">🔍 Key Clues: </w:t>
      </w:r>
      <w:r>
        <w:t>Atropine eye drops: contraindicated in angle-closure glaucoma (dilation ↑ IOP).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Atropine is used pre/post cataract surgery (mydriasis). | b — Atropine helps rest the eye in corneal ulcer. | c — Atropine is the mainstay in uveitis (cycloplegia).</w:t>
      </w:r>
    </w:p>
    <w:p>
      <w:pPr>
        <w:spacing w:after="20" w:before="0"/>
      </w:pPr>
      <w:r>
        <w:rPr>
          <w:b/>
          <w:color w:val="B45F06"/>
        </w:rPr>
        <w:t xml:space="preserve">⚠️ Exam Trap: </w:t>
      </w:r>
      <w:r>
        <w:t>Mydriatics/cycloplegics (atropine, homatropine) are forbidden in narrow-angle glaucoma — 'never dilate a glaucomatous eye'.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Atropine eye drops: useful in uveitis/cataract surgery; contraindicated in angle-closure glaucoma.</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