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b/>
        </w:rPr>
        <w:t xml:space="preserve">Question: </w:t>
      </w:r>
      <w:r>
        <w:t>Hemoptysis commonly occurs in which condition?</w:t>
      </w:r>
    </w:p>
    <w:p>
      <w:pPr>
        <w:spacing w:after="20" w:before="0"/>
      </w:pPr>
      <w:r>
        <w:rPr>
          <w:b w:val="0"/>
          <w:i w:val="0"/>
          <w:sz w:val="21"/>
        </w:rPr>
        <w:t>(a)  Military TB</w:t>
      </w:r>
    </w:p>
    <w:p>
      <w:pPr>
        <w:spacing w:after="20" w:before="0"/>
      </w:pPr>
      <w:r>
        <w:rPr>
          <w:b w:val="0"/>
          <w:i w:val="0"/>
          <w:sz w:val="21"/>
        </w:rPr>
        <w:t>(b)  Emphysema</w:t>
      </w:r>
    </w:p>
    <w:p>
      <w:pPr>
        <w:spacing w:after="20" w:before="0"/>
      </w:pPr>
      <w:r>
        <w:rPr>
          <w:b w:val="0"/>
          <w:i w:val="0"/>
          <w:sz w:val="21"/>
        </w:rPr>
        <w:t>(c)  Pneumothorax</w:t>
      </w:r>
    </w:p>
    <w:p>
      <w:pPr>
        <w:spacing w:after="20" w:before="0"/>
      </w:pPr>
      <w:r>
        <w:rPr>
          <w:b w:val="0"/>
          <w:i w:val="0"/>
          <w:sz w:val="21"/>
        </w:rPr>
        <w:t>(d)  Empyema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HEMOPTYSIS (coughing blood) commonly occurs in TUBERCULOSIS — including MILIARY TB — from caseous lesions eroding vessels. Emphysema, pneumothorax and empyema typically do not produce haemoptysis.</w:t>
      </w:r>
    </w:p>
    <w:p>
      <w:pPr>
        <w:spacing w:after="20" w:before="0"/>
      </w:pPr>
      <w:r>
        <w:rPr>
          <w:b/>
        </w:rPr>
        <w:t xml:space="preserve">🔍 Key Clues: </w:t>
      </w:r>
      <w:r>
        <w:t>Hemoptysis: TB (miliary), bronchiectasis, lung cancer, PE — not emphysema/pneumothorax.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Emphysema causes dyspnea, not haemoptysis. | c — Pneumothorax causes sudden chest pain/dyspnea. | d — Empyema is infected pleural fluid, not haemoptysis.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TB + haemoptysis is the classic pairing in Indian exams.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Hemoptysis: TB, bronchiectasis, malignancy, pulmonary embolism.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Femoral fracture leads to:</w:t>
      </w:r>
    </w:p>
    <w:p>
      <w:pPr>
        <w:spacing w:after="20" w:before="0"/>
      </w:pPr>
      <w:r>
        <w:rPr>
          <w:b w:val="0"/>
          <w:i w:val="0"/>
          <w:sz w:val="21"/>
        </w:rPr>
        <w:t>(a)  Fat embolism</w:t>
      </w:r>
    </w:p>
    <w:p>
      <w:pPr>
        <w:spacing w:after="20" w:before="0"/>
      </w:pPr>
      <w:r>
        <w:rPr>
          <w:b w:val="0"/>
          <w:i w:val="0"/>
          <w:sz w:val="21"/>
        </w:rPr>
        <w:t>(b)  Air embolism</w:t>
      </w:r>
    </w:p>
    <w:p>
      <w:pPr>
        <w:spacing w:after="20" w:before="0"/>
      </w:pPr>
      <w:r>
        <w:rPr>
          <w:b w:val="0"/>
          <w:i w:val="0"/>
          <w:sz w:val="21"/>
        </w:rPr>
        <w:t>(c)  Pulmonary embolism</w:t>
      </w:r>
    </w:p>
    <w:p>
      <w:pPr>
        <w:spacing w:after="20" w:before="0"/>
      </w:pPr>
      <w:r>
        <w:rPr>
          <w:b w:val="0"/>
          <w:i w:val="0"/>
          <w:sz w:val="21"/>
        </w:rPr>
        <w:t>(d)  Systemic embolism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 FEMORAL fracture classically leads to FAT EMBOLISM SYNDROME — marrow fat enters the circulation 24-72 hours after long-bone/pelvic fractures, causing dyspnea, petechiae, confusion and hypoxemia. The triad: respiratory distress, neurological signs, petechial rash.</w:t>
      </w:r>
    </w:p>
    <w:p>
      <w:pPr>
        <w:spacing w:after="20" w:before="0"/>
      </w:pPr>
      <w:r>
        <w:rPr>
          <w:b/>
        </w:rPr>
        <w:t xml:space="preserve">🔍 Key Clues: </w:t>
      </w:r>
      <w:r>
        <w:t>Long-bone (femur) fracture → fat embolism (dyspnea + petechiae + confusion).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Air embolism follows central venous access, not fractures. | c — Pulmonary embolism is a clot, not the fracture embolus. | d — Systemic embolism is cardiac/arterial, not fracture-related.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Fat embolism triad: hypoxemia, neurologic changes, petechial rash — after long-bone fractures.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Femoral/long-bone fracture → fat embolism syndrome.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Investigation for Posterior Urethral Valve (PUV) involves:</w:t>
      </w:r>
    </w:p>
    <w:p>
      <w:pPr>
        <w:spacing w:after="20" w:before="0"/>
      </w:pPr>
      <w:r>
        <w:rPr>
          <w:b w:val="0"/>
          <w:i w:val="0"/>
          <w:sz w:val="21"/>
        </w:rPr>
        <w:t>(a)  Cystourethrogram</w:t>
      </w:r>
    </w:p>
    <w:p>
      <w:pPr>
        <w:spacing w:after="20" w:before="0"/>
      </w:pPr>
      <w:r>
        <w:rPr>
          <w:b w:val="0"/>
          <w:i w:val="0"/>
          <w:sz w:val="21"/>
        </w:rPr>
        <w:t>(b)  Urethroscopy</w:t>
      </w:r>
    </w:p>
    <w:p>
      <w:pPr>
        <w:spacing w:after="20" w:before="0"/>
      </w:pPr>
      <w:r>
        <w:rPr>
          <w:b w:val="0"/>
          <w:i w:val="0"/>
          <w:sz w:val="21"/>
        </w:rPr>
        <w:t>(c)  Ureteroscopy</w:t>
      </w:r>
    </w:p>
    <w:p>
      <w:pPr>
        <w:spacing w:after="20" w:before="0"/>
      </w:pPr>
      <w:r>
        <w:rPr>
          <w:b w:val="0"/>
          <w:i w:val="0"/>
          <w:sz w:val="21"/>
        </w:rPr>
        <w:t>(d)  Sigmoidoscopy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POSTERIOR URETHRAL VALVES (the commonest cause of bladder outlet obstruction in male neonates) are diagnosed by VOIDING CYSTOURETHROGRAM (cystourethrogram) — it shows the valve leaflets, a dilated posterior urethra and bladder changes during voiding. Urethroscopy is therapeutic/confirmatory but the imaging investigation is the keyed answer.</w:t>
      </w:r>
    </w:p>
    <w:p>
      <w:pPr>
        <w:spacing w:after="20" w:before="0"/>
      </w:pPr>
      <w:r>
        <w:rPr>
          <w:b/>
        </w:rPr>
        <w:t xml:space="preserve">🔍 Key Clues: </w:t>
      </w:r>
      <w:r>
        <w:t>PUV → voiding cystourethrogram (VCUG).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Urethroscopy is endoscopic, not the first investigation. | c — Ureteroscopy examines the ureter. | d — Sigmoidoscopy is for the colon.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PUV presentation: weak stream, dribbling, UTI in a male infant → VCUG confirms.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Posterior urethral valve: diagnosed on voiding cystourethrogram (VCUG).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Hyperglycemia occurs due to which of the following disease condition?</w:t>
      </w:r>
    </w:p>
    <w:p>
      <w:pPr>
        <w:spacing w:after="20" w:before="0"/>
      </w:pPr>
      <w:r>
        <w:rPr>
          <w:b w:val="0"/>
          <w:i w:val="0"/>
          <w:sz w:val="21"/>
        </w:rPr>
        <w:t>(a)  Addison disease</w:t>
      </w:r>
    </w:p>
    <w:p>
      <w:pPr>
        <w:spacing w:after="20" w:before="0"/>
      </w:pPr>
      <w:r>
        <w:rPr>
          <w:b w:val="0"/>
          <w:i w:val="0"/>
          <w:sz w:val="21"/>
        </w:rPr>
        <w:t>(b)  Hyperparathyroidism</w:t>
      </w:r>
    </w:p>
    <w:p>
      <w:pPr>
        <w:spacing w:after="20" w:before="0"/>
      </w:pPr>
      <w:r>
        <w:rPr>
          <w:b w:val="0"/>
          <w:i w:val="0"/>
          <w:sz w:val="21"/>
        </w:rPr>
        <w:t>(c)  Hypoparathyroidism</w:t>
      </w:r>
    </w:p>
    <w:p>
      <w:pPr>
        <w:spacing w:after="20" w:before="0"/>
      </w:pPr>
      <w:r>
        <w:rPr>
          <w:b w:val="0"/>
          <w:i w:val="0"/>
          <w:sz w:val="21"/>
        </w:rPr>
        <w:t>(d)  Cushing syndrome</w:t>
      </w:r>
    </w:p>
    <w:p>
      <w:pPr>
        <w:spacing w:after="80" w:before="0"/>
      </w:pPr>
      <w:r>
        <w:rPr>
          <w:b/>
          <w:i w:val="0"/>
          <w:sz w:val="22"/>
        </w:rPr>
        <w:t>Answer: d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d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CUSHING SYNDROME (excess cortisol) causes HYPERGLYCEMIA — cortisol is a counter-regulatory hormone that raises blood glucose (gluconeogenesis, insulin resistance). ADDISON’s disease (cortisol deficiency) causes HYPOGLYCEMIA; parathyroid disorders affect calcium, not glucose.</w:t>
      </w:r>
    </w:p>
    <w:p>
      <w:pPr>
        <w:spacing w:after="20" w:before="0"/>
      </w:pPr>
      <w:r>
        <w:rPr>
          <w:b/>
        </w:rPr>
        <w:t xml:space="preserve">🔍 Key Clues: </w:t>
      </w:r>
      <w:r>
        <w:t>Cortisol excess (Cushing) → hyperglycemia; cortisol deficiency (Addison) → hypoglycemia.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Addison’s causes hypoglycemia. | b — Hyperparathyroidism affects calcium, not glucose. | c — Hypoparathyroidism affects calcium.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Cushing = high cortisol = high sugar; Addison = low cortisol = low sugar.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Cushing syndrome → hyperglycemia; Addison disease → hypoglycemia.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Sudden hypoglycemia occurs in which of the following condition?</w:t>
      </w:r>
    </w:p>
    <w:p>
      <w:pPr>
        <w:spacing w:after="20" w:before="0"/>
      </w:pPr>
      <w:r>
        <w:rPr>
          <w:b w:val="0"/>
          <w:i w:val="0"/>
          <w:sz w:val="21"/>
        </w:rPr>
        <w:t>(a)  Addison’s disease</w:t>
      </w:r>
    </w:p>
    <w:p>
      <w:pPr>
        <w:spacing w:after="20" w:before="0"/>
      </w:pPr>
      <w:r>
        <w:rPr>
          <w:b w:val="0"/>
          <w:i w:val="0"/>
          <w:sz w:val="21"/>
        </w:rPr>
        <w:t>(b)  DM type II</w:t>
      </w:r>
    </w:p>
    <w:p>
      <w:pPr>
        <w:spacing w:after="20" w:before="0"/>
      </w:pPr>
      <w:r>
        <w:rPr>
          <w:b w:val="0"/>
          <w:i w:val="0"/>
          <w:sz w:val="21"/>
        </w:rPr>
        <w:t>(c)  Cushing’s syndrome</w:t>
      </w:r>
    </w:p>
    <w:p>
      <w:pPr>
        <w:spacing w:after="20" w:before="0"/>
      </w:pPr>
      <w:r>
        <w:rPr>
          <w:b w:val="0"/>
          <w:i w:val="0"/>
          <w:sz w:val="21"/>
        </w:rPr>
        <w:t>(d)  Hypoparathyroidism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ADDISON’S DISEASE (adrenocortical insufficiency — low cortisol) causes sudden HYPOGLYCEMIA because cortisol, needed to maintain glucose, is deficient. DM type II and Cushing’s cause hyperglycemia; hypoparathyroidism affects calcium.</w:t>
      </w:r>
    </w:p>
    <w:p>
      <w:pPr>
        <w:spacing w:after="20" w:before="0"/>
      </w:pPr>
      <w:r>
        <w:rPr>
          <w:b/>
        </w:rPr>
        <w:t xml:space="preserve">🔍 Key Clues: </w:t>
      </w:r>
      <w:r>
        <w:t>Addison (low cortisol) → hypoglycemia; Cushing (high cortisol) → hyperglycemia.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DM type II causes hyperglycemia. | c — Cushing’s causes hyperglycemia. | d — Hypoparathyroidism affects calcium.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The cortisol pair: deficiency (Addison) = low sugar; excess (Cushing) = high sugar.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Addison’s disease → sudden hypoglycemia (cortisol deficiency).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experiences severe bleeding after administration of warfarin. The treatment involves all, except?</w:t>
      </w:r>
    </w:p>
    <w:p>
      <w:pPr>
        <w:spacing w:after="20" w:before="0"/>
      </w:pPr>
      <w:r>
        <w:rPr>
          <w:b w:val="0"/>
          <w:i w:val="0"/>
          <w:sz w:val="21"/>
        </w:rPr>
        <w:t>(a)  Heparin</w:t>
      </w:r>
    </w:p>
    <w:p>
      <w:pPr>
        <w:spacing w:after="20" w:before="0"/>
      </w:pPr>
      <w:r>
        <w:rPr>
          <w:b w:val="0"/>
          <w:i w:val="0"/>
          <w:sz w:val="21"/>
        </w:rPr>
        <w:t>(b)  Vitamin K</w:t>
      </w:r>
    </w:p>
    <w:p>
      <w:pPr>
        <w:spacing w:after="20" w:before="0"/>
      </w:pPr>
      <w:r>
        <w:rPr>
          <w:b w:val="0"/>
          <w:i w:val="0"/>
          <w:sz w:val="21"/>
        </w:rPr>
        <w:t>(c)  Hold anticoagulant</w:t>
      </w:r>
    </w:p>
    <w:p>
      <w:pPr>
        <w:spacing w:after="20" w:before="0"/>
      </w:pPr>
      <w:r>
        <w:rPr>
          <w:b w:val="0"/>
          <w:i w:val="0"/>
          <w:sz w:val="21"/>
        </w:rPr>
        <w:t>(d)  Administer FFP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WARFARIN OVERDOSE with bleeding is treated by HOLDING the warfarin, giving VITAMIN K (the antidote) and FRESH FROZEN PLASMA (FFP) for rapid factor replacement. HEPARIN is an anticoagulant — giving it would worsen the bleeding, so it is the exception.</w:t>
      </w:r>
    </w:p>
    <w:p>
      <w:pPr>
        <w:spacing w:after="20" w:before="0"/>
      </w:pPr>
      <w:r>
        <w:rPr>
          <w:b/>
        </w:rPr>
        <w:t xml:space="preserve">🔍 Key Clues: </w:t>
      </w:r>
      <w:r>
        <w:t>Warfarin bleeding: stop warfarin + Vitamin K + FFP — never heparin.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Vitamin K is the specific antidote. | c — The warfarin is held. | d — FFP rapidly restores clotting factors.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Warfarin antidote = Vitamin K; heparin antidote = protamine sulfate — don’t mix them.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Warfarin bleeding: hold drug + Vitamin K + FFP.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Most common inguinal hernia in females is:</w:t>
      </w:r>
    </w:p>
    <w:p>
      <w:pPr>
        <w:spacing w:after="20" w:before="0"/>
      </w:pPr>
      <w:r>
        <w:rPr>
          <w:b w:val="0"/>
          <w:i w:val="0"/>
          <w:sz w:val="21"/>
        </w:rPr>
        <w:t>(a)  Direct inguinal</w:t>
      </w:r>
    </w:p>
    <w:p>
      <w:pPr>
        <w:spacing w:after="20" w:before="0"/>
      </w:pPr>
      <w:r>
        <w:rPr>
          <w:b w:val="0"/>
          <w:i w:val="0"/>
          <w:sz w:val="21"/>
        </w:rPr>
        <w:t>(b)  Indirect inguinal</w:t>
      </w:r>
    </w:p>
    <w:p>
      <w:pPr>
        <w:spacing w:after="20" w:before="0"/>
      </w:pPr>
      <w:r>
        <w:rPr>
          <w:b w:val="0"/>
          <w:i w:val="0"/>
          <w:sz w:val="21"/>
        </w:rPr>
        <w:t>(c)  Femoral</w:t>
      </w:r>
    </w:p>
    <w:p>
      <w:pPr>
        <w:spacing w:after="20" w:before="0"/>
      </w:pPr>
      <w:r>
        <w:rPr>
          <w:b w:val="0"/>
          <w:i w:val="0"/>
          <w:sz w:val="21"/>
        </w:rPr>
        <w:t>(d)  Obturator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INDIRECT INGUINAL hernia (through the internal ring, along the inguinal canal) is the MOST COMMON type in both sexes — including females. Direct hernias are more common in older males; femoral hernias are more common in females than in males but still less frequent than indirect inguinal hernias overall.</w:t>
      </w:r>
    </w:p>
    <w:p>
      <w:pPr>
        <w:spacing w:after="20" w:before="0"/>
      </w:pPr>
      <w:r>
        <w:rPr>
          <w:b/>
        </w:rPr>
        <w:t xml:space="preserve">🔍 Key Clues: </w:t>
      </w:r>
      <w:r>
        <w:t>Most common hernia (all ages/sexes) = indirect inguinal.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Direct hernia is common in older males. | c — Femoral hernia is commoner in females but less frequent overall. | d — Obturator hernia is rare.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Indirect = congenital/canal; direct = acquired/fascial weakness; femoral = below the inguinal ligament.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Most common inguinal hernia in females: indirect inguinal.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Potts spine show which of the following signs:</w:t>
      </w:r>
    </w:p>
    <w:p>
      <w:pPr>
        <w:spacing w:after="20" w:before="0"/>
      </w:pPr>
      <w:r>
        <w:rPr>
          <w:b w:val="0"/>
          <w:i w:val="0"/>
          <w:sz w:val="21"/>
        </w:rPr>
        <w:t>(a)  Spinal pain</w:t>
      </w:r>
    </w:p>
    <w:p>
      <w:pPr>
        <w:spacing w:after="20" w:before="0"/>
      </w:pPr>
      <w:r>
        <w:rPr>
          <w:b w:val="0"/>
          <w:i w:val="0"/>
          <w:sz w:val="21"/>
        </w:rPr>
        <w:t>(b)  Headache</w:t>
      </w:r>
    </w:p>
    <w:p>
      <w:pPr>
        <w:spacing w:after="20" w:before="0"/>
      </w:pPr>
      <w:r>
        <w:rPr>
          <w:b w:val="0"/>
          <w:i w:val="0"/>
          <w:sz w:val="21"/>
        </w:rPr>
        <w:t>(c)  Joint pain</w:t>
      </w:r>
    </w:p>
    <w:p>
      <w:pPr>
        <w:spacing w:after="20" w:before="0"/>
      </w:pPr>
      <w:r>
        <w:rPr>
          <w:b w:val="0"/>
          <w:i w:val="0"/>
          <w:sz w:val="21"/>
        </w:rPr>
        <w:t>(d)  Fibromyalgia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POTT’S SPINE (tuberculosis of the spine) presents with SPINAL PAIN, stiffness, kyphosis (gibbus), fever, night sweats and weight loss — later progressing to paraplegia from cord compression. Headache, joint pain and fibromyalgia are not the classical signs.</w:t>
      </w:r>
    </w:p>
    <w:p>
      <w:pPr>
        <w:spacing w:after="20" w:before="0"/>
      </w:pPr>
      <w:r>
        <w:rPr>
          <w:b/>
        </w:rPr>
        <w:t xml:space="preserve">🔍 Key Clues: </w:t>
      </w:r>
      <w:r>
        <w:t>Pott’s spine (spinal TB): back/spinal pain + gibbus + constitutional symptoms.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Headache is not a Pott’s spine feature. | c — Joint pain is not the classical sign. | d — Fibromyalgia is unrelated.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Pott’s paraplegia: consider spinal TB in any chronic back pain with fever and weight loss.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Pott’s spine: spinal pain, gibbus, fever, weight loss → paraplegia risk.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Diabetes mellitus 2 can occur in which of the following person?</w:t>
      </w:r>
    </w:p>
    <w:p>
      <w:pPr>
        <w:spacing w:after="20" w:before="0"/>
      </w:pPr>
      <w:r>
        <w:rPr>
          <w:b w:val="0"/>
          <w:i w:val="0"/>
          <w:sz w:val="21"/>
        </w:rPr>
        <w:t>(a)  55-year-old male with 98 kg weight</w:t>
      </w:r>
    </w:p>
    <w:p>
      <w:pPr>
        <w:spacing w:after="20" w:before="0"/>
      </w:pPr>
      <w:r>
        <w:rPr>
          <w:b w:val="0"/>
          <w:i w:val="0"/>
          <w:sz w:val="21"/>
        </w:rPr>
        <w:t>(b)  25-year-old male with diabetes but performs exercise</w:t>
      </w:r>
    </w:p>
    <w:p>
      <w:pPr>
        <w:spacing w:after="20" w:before="0"/>
      </w:pPr>
      <w:r>
        <w:rPr>
          <w:b w:val="0"/>
          <w:i w:val="0"/>
          <w:sz w:val="21"/>
        </w:rPr>
        <w:t>(c)  35-year-old female with BMI 20 and has an active lifestyle</w:t>
      </w:r>
    </w:p>
    <w:p>
      <w:pPr>
        <w:spacing w:after="20" w:before="0"/>
      </w:pPr>
      <w:r>
        <w:rPr>
          <w:b w:val="0"/>
          <w:i w:val="0"/>
          <w:sz w:val="21"/>
        </w:rPr>
        <w:t>(d)  45-year-old female with BMI 18 and has a sedentary lifestyle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TYPE 2 DIABETES risk is highest in OLDER AGE + OBESITY — a 55-year-old male weighing 98 kg (obese) fits the classic profile. The 25-year-old with diabetes who exercises, the BMI-20 active female, and the BMI-18 (underweight) sedentary female do not match the typical type 2 phenotype.</w:t>
      </w:r>
    </w:p>
    <w:p>
      <w:pPr>
        <w:spacing w:after="20" w:before="0"/>
      </w:pPr>
      <w:r>
        <w:rPr>
          <w:b/>
        </w:rPr>
        <w:t xml:space="preserve">🔍 Key Clues: </w:t>
      </w:r>
      <w:r>
        <w:t>Type 2 DM: age &gt; 40-45 + obesity (high BMI) + sedentary lifestyle.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Young + exercising is the low-risk profile. | c — BMI 20 active = low risk. | d — BMI 18 (underweight) is not the type 2 phenotype.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Type 2 risk = age + central obesity + inactivity; type 1 = young, lean, insulin-deficient.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Type 2 DM risk: older age + obesity + sedentary lifestyle.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The most common nosocomial infection in a patient undergoing surgery is:</w:t>
      </w:r>
    </w:p>
    <w:p>
      <w:pPr>
        <w:spacing w:after="20" w:before="0"/>
      </w:pPr>
      <w:r>
        <w:rPr>
          <w:b w:val="0"/>
          <w:i w:val="0"/>
          <w:sz w:val="21"/>
        </w:rPr>
        <w:t>(a)  Pneumonia</w:t>
      </w:r>
    </w:p>
    <w:p>
      <w:pPr>
        <w:spacing w:after="20" w:before="0"/>
      </w:pPr>
      <w:r>
        <w:rPr>
          <w:b w:val="0"/>
          <w:i w:val="0"/>
          <w:sz w:val="21"/>
        </w:rPr>
        <w:t>(b)  Surgical site infection</w:t>
      </w:r>
    </w:p>
    <w:p>
      <w:pPr>
        <w:spacing w:after="20" w:before="0"/>
      </w:pPr>
      <w:r>
        <w:rPr>
          <w:b w:val="0"/>
          <w:i w:val="0"/>
          <w:sz w:val="21"/>
        </w:rPr>
        <w:t>(c)  Campylobacter perfringens</w:t>
      </w:r>
    </w:p>
    <w:p>
      <w:pPr>
        <w:spacing w:after="20" w:before="0"/>
      </w:pPr>
      <w:r>
        <w:rPr>
          <w:b w:val="0"/>
          <w:i w:val="0"/>
          <w:sz w:val="21"/>
        </w:rPr>
        <w:t>(d)  Clostridium difficile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SURGICAL SITE INFECTION (SSI) is the MOST COMMON nosocomial infection after surgery — it accounts for the largest share of healthcare-associated infections in surgical patients. Pneumonia, UTI and bloodstream infections are other HAI types; C. difficile follows antibiotic use.</w:t>
      </w:r>
    </w:p>
    <w:p>
      <w:pPr>
        <w:spacing w:after="20" w:before="0"/>
      </w:pPr>
      <w:r>
        <w:rPr>
          <w:b/>
        </w:rPr>
        <w:t xml:space="preserve">🔍 Key Clues: </w:t>
      </w:r>
      <w:r>
        <w:t>Post-surgery nosocomial infection = surgical site infection (SSI).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Prevention and asepsis first — safe handling and precautions protect both the patient and the caregiver.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Pneumonia (VAP) is common in ICU/ventilated patients. | c — Campylobacter perfringens is a typo for Clostridium perfringens (gas gangrene) — rare. | d — C. difficile follows antibiotics, not surgery itself.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SSI prevention: antibiotic prophylaxis, normothermia, glycaemic control, skin antisepsis.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Commonest nosocomial infection after surgery: surgical site infection.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symptom indicates that acute renal failure has progressed to chronic renal failure?</w:t>
      </w:r>
    </w:p>
    <w:p>
      <w:pPr>
        <w:spacing w:after="20" w:before="0"/>
      </w:pPr>
      <w:r>
        <w:rPr>
          <w:b w:val="0"/>
          <w:i w:val="0"/>
          <w:sz w:val="21"/>
        </w:rPr>
        <w:t>(a)  Anemia</w:t>
      </w:r>
    </w:p>
    <w:p>
      <w:pPr>
        <w:spacing w:after="20" w:before="0"/>
      </w:pPr>
      <w:r>
        <w:rPr>
          <w:b w:val="0"/>
          <w:i w:val="0"/>
          <w:sz w:val="21"/>
        </w:rPr>
        <w:t>(b)  Hypertension</w:t>
      </w:r>
    </w:p>
    <w:p>
      <w:pPr>
        <w:spacing w:after="20" w:before="0"/>
      </w:pPr>
      <w:r>
        <w:rPr>
          <w:b w:val="0"/>
          <w:i w:val="0"/>
          <w:sz w:val="21"/>
        </w:rPr>
        <w:t>(c)  Tachycardia</w:t>
      </w:r>
    </w:p>
    <w:p>
      <w:pPr>
        <w:spacing w:after="20" w:before="0"/>
      </w:pPr>
      <w:r>
        <w:rPr>
          <w:b w:val="0"/>
          <w:i w:val="0"/>
          <w:sz w:val="21"/>
        </w:rPr>
        <w:t>(d)  Hypotension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PERSISTENT HYPERTENSION is a hallmark that acute renal failure has progressed to CHRONIC renal failure — along with long-standing azotemia, anemia and bilateral small kidneys. Transient tachycardia/hypotension are features of acute settings; hypertension is the keyed chronic progression marker.</w:t>
      </w:r>
    </w:p>
    <w:p>
      <w:pPr>
        <w:spacing w:after="20" w:before="0"/>
      </w:pPr>
      <w:r>
        <w:rPr>
          <w:b/>
        </w:rPr>
        <w:t xml:space="preserve">🔍 Key Clues: </w:t>
      </w:r>
      <w:r>
        <w:t>ARF → CRF progression: persistent hypertension + long-standing azotemia.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Anemia occurs in CRF but hypertension is the keyed answer. | c — Tachycardia is not a chronic marker. | d — Hypotension is an acute-phase feature.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CRF: hypertension, renal osteodystrophy, anemia — irreversible damage.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ARF → CRF progression: persistent hypertension.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blood glucose test should be performed if patient’s random blood glucose levels are 110 and 113 at different times in a day?</w:t>
      </w:r>
    </w:p>
    <w:p>
      <w:pPr>
        <w:spacing w:after="20" w:before="0"/>
      </w:pPr>
      <w:r>
        <w:rPr>
          <w:b w:val="0"/>
          <w:i w:val="0"/>
          <w:sz w:val="21"/>
        </w:rPr>
        <w:t>(a)  Normal finding</w:t>
      </w:r>
    </w:p>
    <w:p>
      <w:pPr>
        <w:spacing w:after="20" w:before="0"/>
      </w:pPr>
      <w:r>
        <w:rPr>
          <w:b w:val="0"/>
          <w:i w:val="0"/>
          <w:sz w:val="21"/>
        </w:rPr>
        <w:t>(b)  GTT</w:t>
      </w:r>
    </w:p>
    <w:p>
      <w:pPr>
        <w:spacing w:after="20" w:before="0"/>
      </w:pPr>
      <w:r>
        <w:rPr>
          <w:b w:val="0"/>
          <w:i w:val="0"/>
          <w:sz w:val="21"/>
        </w:rPr>
        <w:t>(c)  Hb1ac and GTT</w:t>
      </w:r>
    </w:p>
    <w:p>
      <w:pPr>
        <w:spacing w:after="20" w:before="0"/>
      </w:pPr>
      <w:r>
        <w:rPr>
          <w:b w:val="0"/>
          <w:i w:val="0"/>
          <w:sz w:val="21"/>
        </w:rPr>
        <w:t>(d)  Diabetes confirm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Random blood glucose values of 110 and 113 mg/dL are NORMAL — the random glucose normal range is below 140 mg/dL (diabetes ≥ 200 with symptoms; prediabetes 140-199). No further testing is needed; the readings are a normal finding. The printed key lists (c), but per standard references these values are normal.</w:t>
      </w:r>
    </w:p>
    <w:p>
      <w:pPr>
        <w:spacing w:after="20" w:before="0"/>
      </w:pPr>
      <w:r>
        <w:rPr>
          <w:b/>
        </w:rPr>
        <w:t xml:space="preserve">🔍 Key Clues: </w:t>
      </w:r>
      <w:r>
        <w:t>Random glucose &lt; 140 mg/dL = normal; ≥ 200 = diabetes.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GTT is done for elevated or borderline fasting values. | c — Not needed — the readings are within the normal range. | d — No diabetes confirmation is required for normal values.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Random glucose: normal &lt; 140, prediabetes 140-199, diabetes ≥ 200 (with symptoms).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Random blood glucose 110-113 mg/dL = normal (&lt; 140).</w:t>
      </w:r>
    </w:p>
    <w:p>
      <w:pPr>
        <w:spacing w:after="20" w:before="0"/>
      </w:pPr>
      <w:r>
        <w:rPr>
          <w:b/>
          <w:color w:val="B45F06"/>
        </w:rPr>
        <w:t xml:space="preserve">📌 Note: </w:t>
      </w:r>
      <w:r>
        <w:t>The printed key lists (c) Hb1ac and GTT, but random glucose of 110 and 113 mg/dL is within the normal range (&lt; 140 mg/dL per ADA/WHO) — answer corrected to (a) Normal finding.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Triad of acute appendicitis include all, except:</w:t>
      </w:r>
    </w:p>
    <w:p>
      <w:pPr>
        <w:spacing w:after="20" w:before="0"/>
      </w:pPr>
      <w:r>
        <w:rPr>
          <w:b w:val="0"/>
          <w:i w:val="0"/>
          <w:sz w:val="21"/>
        </w:rPr>
        <w:t>(a)  Abdominal pain</w:t>
      </w:r>
    </w:p>
    <w:p>
      <w:pPr>
        <w:spacing w:after="20" w:before="0"/>
      </w:pPr>
      <w:r>
        <w:rPr>
          <w:b w:val="0"/>
          <w:i w:val="0"/>
          <w:sz w:val="21"/>
        </w:rPr>
        <w:t>(b)  Fever</w:t>
      </w:r>
    </w:p>
    <w:p>
      <w:pPr>
        <w:spacing w:after="20" w:before="0"/>
      </w:pPr>
      <w:r>
        <w:rPr>
          <w:b w:val="0"/>
          <w:i w:val="0"/>
          <w:sz w:val="21"/>
        </w:rPr>
        <w:t>(c)  Jaundice</w:t>
      </w:r>
    </w:p>
    <w:p>
      <w:pPr>
        <w:spacing w:after="20" w:before="0"/>
      </w:pPr>
      <w:r>
        <w:rPr>
          <w:b w:val="0"/>
          <w:i w:val="0"/>
          <w:sz w:val="21"/>
        </w:rPr>
        <w:t>(d)  Nausea or vomiting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ACUTE APPENDICITIS classically presents with ABDOMINAL PAIN (periumbilical → right lower quadrant), FEVER and NAUSEA/VOMITING. JAUNDICE is not part of the appendicitis picture — it suggests hepatobiliary disease (e.g., cholangitis, hepatitis), so it is the exception.</w:t>
      </w:r>
    </w:p>
    <w:p>
      <w:pPr>
        <w:spacing w:after="20" w:before="0"/>
      </w:pPr>
      <w:r>
        <w:rPr>
          <w:b/>
        </w:rPr>
        <w:t xml:space="preserve">🔍 Key Clues: </w:t>
      </w:r>
      <w:r>
        <w:t>Appendicitis: RLQ pain + fever + nausea/vomiting — not jaundice.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Patient safety and the ABC (airway, breathing, circulation) priorities come before diagnosis, documentation and non-urgent tasks.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Pain (shifting to McBurney’s point) is the hallmark. | b — Fever is common. | d — Nausea/vomiting are common.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Jaundice points to the liver/biliary tree — never appendicitis.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Identify (the problem) → Stabilize (ABC / patient safety) → Reassess (response) → Document (findings).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Acute appendicitis: RLQ pain, fever, nausea/vomiting.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Blue discoloration of oral cavity occurs by which metal poisoning?</w:t>
      </w:r>
    </w:p>
    <w:p>
      <w:pPr>
        <w:spacing w:after="20" w:before="0"/>
      </w:pPr>
      <w:r>
        <w:rPr>
          <w:b w:val="0"/>
          <w:i w:val="0"/>
          <w:sz w:val="21"/>
        </w:rPr>
        <w:t>(a)  Lead</w:t>
      </w:r>
    </w:p>
    <w:p>
      <w:pPr>
        <w:spacing w:after="20" w:before="0"/>
      </w:pPr>
      <w:r>
        <w:rPr>
          <w:b w:val="0"/>
          <w:i w:val="0"/>
          <w:sz w:val="21"/>
        </w:rPr>
        <w:t>(b)  Mercury</w:t>
      </w:r>
    </w:p>
    <w:p>
      <w:pPr>
        <w:spacing w:after="20" w:before="0"/>
      </w:pPr>
      <w:r>
        <w:rPr>
          <w:b w:val="0"/>
          <w:i w:val="0"/>
          <w:sz w:val="21"/>
        </w:rPr>
        <w:t>(c)  Selenium</w:t>
      </w:r>
    </w:p>
    <w:p>
      <w:pPr>
        <w:spacing w:after="20" w:before="0"/>
      </w:pPr>
      <w:r>
        <w:rPr>
          <w:b w:val="0"/>
          <w:i w:val="0"/>
          <w:sz w:val="21"/>
        </w:rPr>
        <w:t>(d)  Copper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LEAD POISONING causes a BLUE-BLACK "lead line" (Burton’s line) along the gingival margin — the blue discoloration of the oral cavity. Mercury gives excessive salivation and gingivitis; copper can give a greenish hue; selenium causes a garlic odour.</w:t>
      </w:r>
    </w:p>
    <w:p>
      <w:pPr>
        <w:spacing w:after="20" w:before="0"/>
      </w:pPr>
      <w:r>
        <w:rPr>
          <w:b/>
        </w:rPr>
        <w:t xml:space="preserve">🔍 Key Clues: </w:t>
      </w:r>
      <w:r>
        <w:t>Blue line on gums = lead (Burton’s line).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Mercury causes salivation/gingivostomatitis. | c — Selenium gives a garlic odour. | d — Copper may give a greenish discoloration.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Burton’s line (lead) vs blue gum line of bismuth — lead is the metal keyed here.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Lead poisoning: blue-black gingival (Burton’s) line.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A patient with high PTH and calcium levels indicate which type of hyperparathyroidism?</w:t>
      </w:r>
    </w:p>
    <w:p>
      <w:pPr>
        <w:spacing w:after="20" w:before="0"/>
      </w:pPr>
      <w:r>
        <w:rPr>
          <w:b w:val="0"/>
          <w:i w:val="0"/>
          <w:sz w:val="21"/>
        </w:rPr>
        <w:t>(a)  Primary hyperparathyroidism</w:t>
      </w:r>
    </w:p>
    <w:p>
      <w:pPr>
        <w:spacing w:after="20" w:before="0"/>
      </w:pPr>
      <w:r>
        <w:rPr>
          <w:b w:val="0"/>
          <w:i w:val="0"/>
          <w:sz w:val="21"/>
        </w:rPr>
        <w:t>(b)  Secondary hyperparathyroidism</w:t>
      </w:r>
    </w:p>
    <w:p>
      <w:pPr>
        <w:spacing w:after="20" w:before="0"/>
      </w:pPr>
      <w:r>
        <w:rPr>
          <w:b w:val="0"/>
          <w:i w:val="0"/>
          <w:sz w:val="21"/>
        </w:rPr>
        <w:t>(c)  Tertiary hyperparathyroidism</w:t>
      </w:r>
    </w:p>
    <w:p>
      <w:pPr>
        <w:spacing w:after="20" w:before="0"/>
      </w:pPr>
      <w:r>
        <w:rPr>
          <w:b w:val="0"/>
          <w:i w:val="0"/>
          <w:sz w:val="21"/>
        </w:rPr>
        <w:t>(d)  Both a and b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HIGH PTH WITH HIGH CALCIUM indicates PRIMARY hyperparathyroidism — the gland itself oversecretes PTH (usually an adenoma), raising calcium. In SECONDARY hyperparathyroidism PTH is high in RESPONSE to a low calcium (e.g., renal failure, vitamin D deficiency); tertiary = autonomous high PTH after long-standing secondary disease.</w:t>
      </w:r>
    </w:p>
    <w:p>
      <w:pPr>
        <w:spacing w:after="20" w:before="0"/>
      </w:pPr>
      <w:r>
        <w:rPr>
          <w:b/>
        </w:rPr>
        <w:t xml:space="preserve">🔍 Key Clues: </w:t>
      </w:r>
      <w:r>
        <w:t>Primary hyperPTH: high PTH + high calcium; secondary: high PTH + low/normal calcium.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Secondary has high PTH with low calcium. | c — Tertiary follows long-standing secondary disease. | d — Only primary fits the high-high pattern.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The calcium direction separates them: high (primary) vs low (secondary).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Primary hyperparathyroidism: high PTH + high calcium (stones, bones, groans).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Treatment of flail chest involves:</w:t>
      </w:r>
    </w:p>
    <w:p>
      <w:pPr>
        <w:spacing w:after="20" w:before="0"/>
      </w:pPr>
      <w:r>
        <w:rPr>
          <w:b w:val="0"/>
          <w:i w:val="0"/>
          <w:sz w:val="21"/>
        </w:rPr>
        <w:t>(a)  Provide O2</w:t>
      </w:r>
    </w:p>
    <w:p>
      <w:pPr>
        <w:spacing w:after="20" w:before="0"/>
      </w:pPr>
      <w:r>
        <w:rPr>
          <w:b w:val="0"/>
          <w:i w:val="0"/>
          <w:sz w:val="21"/>
        </w:rPr>
        <w:t>(b)  IPPV</w:t>
      </w:r>
    </w:p>
    <w:p>
      <w:pPr>
        <w:spacing w:after="20" w:before="0"/>
      </w:pPr>
      <w:r>
        <w:rPr>
          <w:b w:val="0"/>
          <w:i w:val="0"/>
          <w:sz w:val="21"/>
        </w:rPr>
        <w:t>(c)  Insert ICD</w:t>
      </w:r>
    </w:p>
    <w:p>
      <w:pPr>
        <w:spacing w:after="20" w:before="0"/>
      </w:pPr>
      <w:r>
        <w:rPr>
          <w:b w:val="0"/>
          <w:i w:val="0"/>
          <w:sz w:val="21"/>
        </w:rPr>
        <w:t>(d)  Reassure the patient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initial management of FLAIL CHEST (paradoxical chest-wall movement from multiple rib fractures) is to PROVIDE OXYGEN, relieve pain (analgesia/intercostal block) and support ventilation. IPPV is reserved for respiratory failure; intercostal drainage is for pneumothorax/haemothorax, not flail chest per se.</w:t>
      </w:r>
    </w:p>
    <w:p>
      <w:pPr>
        <w:spacing w:after="20" w:before="0"/>
      </w:pPr>
      <w:r>
        <w:rPr>
          <w:b/>
        </w:rPr>
        <w:t xml:space="preserve">🔍 Key Clues: </w:t>
      </w:r>
      <w:r>
        <w:t>Flail chest: O2 + analgesia first; IPPV only if respiratory failure.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IPPV is for established respiratory failure. | c — ICD treats pneumothorax/haemothorax. | d — Reassurance alone is inadequate.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Flail chest needs the underlying lung contusion managed: O2, analgesia, chest physiotherapy.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Flail chest: oxygen + analgesia; ventilate only for respiratory failure.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additive is present in the vacutainer used for collecting blood sample of PT, INR and aPTT?</w:t>
      </w:r>
    </w:p>
    <w:p>
      <w:pPr>
        <w:spacing w:after="20" w:before="0"/>
      </w:pPr>
      <w:r>
        <w:rPr>
          <w:b w:val="0"/>
          <w:i w:val="0"/>
          <w:sz w:val="21"/>
        </w:rPr>
        <w:t>(a)  Plain</w:t>
      </w:r>
    </w:p>
    <w:p>
      <w:pPr>
        <w:spacing w:after="20" w:before="0"/>
      </w:pPr>
      <w:r>
        <w:rPr>
          <w:b w:val="0"/>
          <w:i w:val="0"/>
          <w:sz w:val="21"/>
        </w:rPr>
        <w:t>(b)  Edta</w:t>
      </w:r>
    </w:p>
    <w:p>
      <w:pPr>
        <w:spacing w:after="20" w:before="0"/>
      </w:pPr>
      <w:r>
        <w:rPr>
          <w:b w:val="0"/>
          <w:i w:val="0"/>
          <w:sz w:val="21"/>
        </w:rPr>
        <w:t>(c)  Sodium citrate</w:t>
      </w:r>
    </w:p>
    <w:p>
      <w:pPr>
        <w:spacing w:after="20" w:before="0"/>
      </w:pPr>
      <w:r>
        <w:rPr>
          <w:b w:val="0"/>
          <w:i w:val="0"/>
          <w:sz w:val="21"/>
        </w:rPr>
        <w:t>(d)  Sodium fluoride</w:t>
      </w:r>
    </w:p>
    <w:p>
      <w:pPr>
        <w:spacing w:after="80" w:before="0"/>
      </w:pPr>
      <w:r>
        <w:rPr>
          <w:b/>
          <w:i w:val="0"/>
          <w:sz w:val="22"/>
        </w:rPr>
        <w:t>Answer: c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c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Coagulation tests (PT, INR, aPTT) require blood collected in a LIGHT-BLUE vacutainer containing SODIUM CITRATE — it chelates calcium, preventing coagulation while preserving clotting factors (9:1 blood:citrate). EDTA (purple) is for CBC; sodium fluoride (grey) is for glucose; plain (red) is for serum chemistry.</w:t>
      </w:r>
    </w:p>
    <w:p>
      <w:pPr>
        <w:spacing w:after="20" w:before="0"/>
      </w:pPr>
      <w:r>
        <w:rPr>
          <w:b/>
        </w:rPr>
        <w:t xml:space="preserve">🔍 Key Clues: </w:t>
      </w:r>
      <w:r>
        <w:t>Coagulation (PT/INR/aPTT) = light-blue tube with sodium citrate.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Plain (red-top) is for serum chemistry. | b — EDTA (purple) is for CBC/blood counts. | d — Sodium fluoride (grey) is for glucose/lactate.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Tube map: blue = citrate (coagulation), purple = EDTA (CBC), grey = fluoride (glucose), red = plain.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PT/INR/aPTT: sodium citrate (light-blue vacutainer).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Components of GCS include:</w:t>
      </w:r>
    </w:p>
    <w:p>
      <w:pPr>
        <w:spacing w:after="20" w:before="0"/>
      </w:pPr>
      <w:r>
        <w:rPr>
          <w:b w:val="0"/>
          <w:i w:val="0"/>
          <w:sz w:val="21"/>
        </w:rPr>
        <w:t>(a)  Eye opening, altered level of consciousness, motor response</w:t>
      </w:r>
    </w:p>
    <w:p>
      <w:pPr>
        <w:spacing w:after="20" w:before="0"/>
      </w:pPr>
      <w:r>
        <w:rPr>
          <w:b w:val="0"/>
          <w:i w:val="0"/>
          <w:sz w:val="21"/>
        </w:rPr>
        <w:t>(b)  Eye response, verbal response, motor response</w:t>
      </w:r>
    </w:p>
    <w:p>
      <w:pPr>
        <w:spacing w:after="20" w:before="0"/>
      </w:pPr>
      <w:r>
        <w:rPr>
          <w:b w:val="0"/>
          <w:i w:val="0"/>
          <w:sz w:val="21"/>
        </w:rPr>
        <w:t>(c)  Eye opening, physical response, and verbal response</w:t>
      </w:r>
    </w:p>
    <w:p>
      <w:pPr>
        <w:spacing w:after="20" w:before="0"/>
      </w:pPr>
      <w:r>
        <w:rPr>
          <w:b w:val="0"/>
          <w:i w:val="0"/>
          <w:sz w:val="21"/>
        </w:rPr>
        <w:t>(d)  Level of consciousness, breathing effort, and verbal response</w:t>
      </w:r>
    </w:p>
    <w:p>
      <w:pPr>
        <w:spacing w:after="80" w:before="0"/>
      </w:pPr>
      <w:r>
        <w:rPr>
          <w:b/>
          <w:i w:val="0"/>
          <w:sz w:val="22"/>
        </w:rPr>
        <w:t>Answer: b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b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The GLASGOW COMA SCALE has three components: EYE response (1-4), VERBAL response (1-5) and MOTOR response (1-6). Total score 3-15. "Altered level of consciousness" is the purpose of the scale, not a component.</w:t>
      </w:r>
    </w:p>
    <w:p>
      <w:pPr>
        <w:spacing w:after="20" w:before="0"/>
      </w:pPr>
      <w:r>
        <w:rPr>
          <w:b/>
        </w:rPr>
        <w:t xml:space="preserve">🔍 Key Clues: </w:t>
      </w:r>
      <w:r>
        <w:t>GCS = Eye + Verbal + Motor (EVM).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a — "Altered LOC" is the outcome, not a component. | c — "Physical response" is not a GCS term. | d — "Breathing effort" is not a GCS component.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GCS scoring: E4 V5 M6 = 15/15; &lt; 8 = severe (consider intubation).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GCS: eye + verbal + motor response (3-15).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of the following symptoms is seen in a male having Chlamydia infection?</w:t>
      </w:r>
    </w:p>
    <w:p>
      <w:pPr>
        <w:spacing w:after="20" w:before="0"/>
      </w:pPr>
      <w:r>
        <w:rPr>
          <w:b w:val="0"/>
          <w:i w:val="0"/>
          <w:sz w:val="21"/>
        </w:rPr>
        <w:t>(a)  Epididymitis</w:t>
      </w:r>
    </w:p>
    <w:p>
      <w:pPr>
        <w:spacing w:after="20" w:before="0"/>
      </w:pPr>
      <w:r>
        <w:rPr>
          <w:b w:val="0"/>
          <w:i w:val="0"/>
          <w:sz w:val="21"/>
        </w:rPr>
        <w:t>(b)  Secondary lymphadenopathy</w:t>
      </w:r>
    </w:p>
    <w:p>
      <w:pPr>
        <w:spacing w:after="20" w:before="0"/>
      </w:pPr>
      <w:r>
        <w:rPr>
          <w:b w:val="0"/>
          <w:i w:val="0"/>
          <w:sz w:val="21"/>
        </w:rPr>
        <w:t>(c)  Enlarged penis</w:t>
      </w:r>
    </w:p>
    <w:p>
      <w:pPr>
        <w:spacing w:after="20" w:before="0"/>
      </w:pPr>
      <w:r>
        <w:rPr>
          <w:b w:val="0"/>
          <w:i w:val="0"/>
          <w:sz w:val="21"/>
        </w:rPr>
        <w:t>(d)  Edematous scrotum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 males, CHLAMYDIA (the commonest bacterial STI) causes URETHRITIS with discharge and dysuria, and can ascend to cause EPIDIDYMITIS. The keyed symptom among the options is epididymitis — a known complication of untreated chlamydial infection.</w:t>
      </w:r>
    </w:p>
    <w:p>
      <w:pPr>
        <w:spacing w:after="20" w:before="0"/>
      </w:pPr>
      <w:r>
        <w:rPr>
          <w:b/>
        </w:rPr>
        <w:t xml:space="preserve">🔍 Key Clues: </w:t>
      </w:r>
      <w:r>
        <w:t>Chlamydia in males: urethritis → epididymitis, proctitis, Reiter syndrome.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Prevention and asepsis first — safe handling and precautions protect both the patient and the caregiver.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Secondary lymphadenopathy suggests syphilis/LGV. | c — Enlarged penis is not a chlamydial feature. | d — Oedematous scrotum is not characteristic.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Chlamydia: often asymptomatic; screen contacts; treat with doxycycline/azithromycin.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Male chlamydia: urethritis + epididymitis (azithromycin/doxycycline).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p>
      <w:pPr>
        <w:spacing w:before="280" w:after="40"/>
      </w:pPr>
      <w:r>
        <w:rPr>
          <w:b/>
        </w:rPr>
        <w:t xml:space="preserve">Question: </w:t>
      </w:r>
      <w:r>
        <w:t>Which among the following is the treatment of choice for intraductal breast carcinoma?</w:t>
      </w:r>
    </w:p>
    <w:p>
      <w:pPr>
        <w:spacing w:after="20" w:before="0"/>
      </w:pPr>
      <w:r>
        <w:rPr>
          <w:b w:val="0"/>
          <w:i w:val="0"/>
          <w:sz w:val="21"/>
        </w:rPr>
        <w:t>(a)  Lumpectomy with radiation / Breast-preserving surgery</w:t>
      </w:r>
    </w:p>
    <w:p>
      <w:pPr>
        <w:spacing w:after="20" w:before="0"/>
      </w:pPr>
      <w:r>
        <w:rPr>
          <w:b w:val="0"/>
          <w:i w:val="0"/>
          <w:sz w:val="21"/>
        </w:rPr>
        <w:t>(b)  Mastectomy</w:t>
      </w:r>
    </w:p>
    <w:p>
      <w:pPr>
        <w:spacing w:after="20" w:before="0"/>
      </w:pPr>
      <w:r>
        <w:rPr>
          <w:b w:val="0"/>
          <w:i w:val="0"/>
          <w:sz w:val="21"/>
        </w:rPr>
        <w:t>(c)  Chemotherapy</w:t>
      </w:r>
    </w:p>
    <w:p>
      <w:pPr>
        <w:spacing w:after="20" w:before="0"/>
      </w:pPr>
      <w:r>
        <w:rPr>
          <w:b w:val="0"/>
          <w:i w:val="0"/>
          <w:sz w:val="21"/>
        </w:rPr>
        <w:t>(d)  Hormonal therapy</w:t>
      </w:r>
    </w:p>
    <w:p>
      <w:pPr>
        <w:spacing w:after="80" w:before="0"/>
      </w:pPr>
      <w:r>
        <w:rPr>
          <w:b/>
          <w:i w:val="0"/>
          <w:sz w:val="22"/>
        </w:rPr>
        <w:t>Answer: a</w:t>
      </w:r>
    </w:p>
    <w:p>
      <w:pPr>
        <w:spacing w:after="20"/>
      </w:pPr>
      <w:r>
        <w:rPr>
          <w:b/>
        </w:rPr>
        <w:t xml:space="preserve">Solution: </w:t>
      </w:r>
      <w:r>
        <w:rPr>
          <w:b/>
          <w:color w:val="1E7B1E"/>
        </w:rPr>
        <w:t xml:space="preserve">✅ Correct Answer: </w:t>
      </w:r>
      <w:r>
        <w:rPr>
          <w:b/>
          <w:color w:val="1E7B1E"/>
        </w:rPr>
        <w:t>a</w:t>
      </w:r>
    </w:p>
    <w:p>
      <w:pPr>
        <w:spacing w:after="20" w:before="0"/>
      </w:pPr>
      <w:r>
        <w:rPr>
          <w:b/>
        </w:rPr>
        <w:t xml:space="preserve">🧠 Clinical Rationale: </w:t>
      </w:r>
      <w:r>
        <w:t>INTRADUCTAL breast carcinoma (ductal carcinoma in situ — DCIS) is a NON-INVASIVE cancer; the treatment of choice is BREAST-PRESERVING SURGERY (lumpectomy/excision) WITH RADIATION, which achieves excellent cure rates while conserving the breast. Mastectomy is reserved for extensive/multicentric disease; chemo/hormonal therapy are not the primary treatment for DCIS.</w:t>
      </w:r>
    </w:p>
    <w:p>
      <w:pPr>
        <w:spacing w:after="20" w:before="0"/>
      </w:pPr>
      <w:r>
        <w:rPr>
          <w:b/>
        </w:rPr>
        <w:t xml:space="preserve">🔍 Key Clues: </w:t>
      </w:r>
      <w:r>
        <w:t>DCIS (intraductal): lumpectomy + radiation (breast conservation).</w:t>
      </w:r>
    </w:p>
    <w:p>
      <w:pPr>
        <w:spacing w:after="20" w:before="0"/>
      </w:pPr>
      <w:r>
        <w:rPr>
          <w:b/>
        </w:rPr>
        <w:t xml:space="preserve">🚨 Priority Principle: </w:t>
      </w:r>
      <w:r>
        <w:t>Recall the core fact precisely, then apply it to the clinical context.</w:t>
      </w:r>
    </w:p>
    <w:p>
      <w:pPr>
        <w:spacing w:after="20" w:before="0"/>
      </w:pPr>
      <w:r>
        <w:rPr>
          <w:b/>
        </w:rPr>
        <w:t xml:space="preserve">❌ Why Not Other Options: </w:t>
      </w:r>
      <w:r>
        <w:t>b — Mastectomy is for extensive disease. | c — Chemotherapy is not used for non-invasive DCIS. | d — Hormonal therapy (tamoxifen) is adjunctive, not the treatment of choice.</w:t>
      </w:r>
    </w:p>
    <w:p>
      <w:pPr>
        <w:spacing w:after="20" w:before="0"/>
      </w:pPr>
      <w:r>
        <w:rPr>
          <w:b/>
          <w:color w:val="B45F06"/>
        </w:rPr>
        <w:t xml:space="preserve">⚠️ Exam Trap: </w:t>
      </w:r>
      <w:r>
        <w:t>DCIS = in situ (no invasion) → local therapy (surgery ± radiation) is curative.</w:t>
      </w:r>
    </w:p>
    <w:p>
      <w:pPr>
        <w:spacing w:after="20" w:before="0"/>
      </w:pPr>
      <w:r>
        <w:rPr>
          <w:b/>
        </w:rPr>
        <w:t xml:space="preserve">🩺 Clinical Thinking: </w:t>
      </w:r>
      <w:r>
        <w:t>Recall (the key fact) → Connect (related high-yield facts) → Apply (exam context).</w:t>
      </w:r>
    </w:p>
    <w:p>
      <w:pPr>
        <w:spacing w:after="20" w:before="0"/>
      </w:pPr>
      <w:r>
        <w:rPr>
          <w:b/>
          <w:color w:val="1F3A5F"/>
        </w:rPr>
        <w:t xml:space="preserve">💎 PNC Pearl: </w:t>
      </w:r>
      <w:r>
        <w:t>Intraductal carcinoma (DCIS): lumpectomy + radiation.</w:t>
      </w:r>
    </w:p>
    <w:p>
      <w:pPr>
        <w:spacing w:after="0" w:before="0"/>
      </w:pPr>
      <w:r>
        <w:rPr>
          <w:b/>
          <w:i w:val="0"/>
          <w:sz w:val="21"/>
        </w:rPr>
        <w:t>Positive Marks: 1    Negative Marks: 0.25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