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</w:rPr>
        <w:t xml:space="preserve">Question: </w:t>
      </w:r>
      <w:r>
        <w:t>What is the first priority intervention in case of mild allergy during blood transfusion?</w:t>
      </w:r>
    </w:p>
    <w:p>
      <w:pPr>
        <w:spacing w:after="20" w:before="0"/>
      </w:pPr>
      <w:r>
        <w:rPr>
          <w:b w:val="0"/>
          <w:i w:val="0"/>
          <w:sz w:val="21"/>
        </w:rPr>
        <w:t>(a)  Stop the blood transfusion</w:t>
      </w:r>
    </w:p>
    <w:p>
      <w:pPr>
        <w:spacing w:after="20" w:before="0"/>
      </w:pPr>
      <w:r>
        <w:rPr>
          <w:b w:val="0"/>
          <w:i w:val="0"/>
          <w:sz w:val="21"/>
        </w:rPr>
        <w:t>(b)  No need to stop the blood transfusion</w:t>
      </w:r>
    </w:p>
    <w:p>
      <w:pPr>
        <w:spacing w:after="20" w:before="0"/>
      </w:pPr>
      <w:r>
        <w:rPr>
          <w:b w:val="0"/>
          <w:i w:val="0"/>
          <w:sz w:val="21"/>
        </w:rPr>
        <w:t>(c)  Notify the physician immediately</w:t>
      </w:r>
    </w:p>
    <w:p>
      <w:pPr>
        <w:spacing w:after="20" w:before="0"/>
      </w:pPr>
      <w:r>
        <w:rPr>
          <w:b w:val="0"/>
          <w:i w:val="0"/>
          <w:sz w:val="21"/>
        </w:rPr>
        <w:t>(d)  Slow the rate of blood flow during blood transfusion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For ANY transfusion reaction — including a MILD allergic reaction — the FIRST priority is to STOP the blood transfusion immediately (then keep the line open with normal saline, assess, notify the physician and follow the reaction protocol). Continuing at a slower rate is unsafe.</w:t>
      </w:r>
    </w:p>
    <w:p>
      <w:pPr>
        <w:spacing w:after="20" w:before="0"/>
      </w:pPr>
      <w:r>
        <w:rPr>
          <w:b/>
        </w:rPr>
        <w:t xml:space="preserve">🔍 Key Clues: </w:t>
      </w:r>
      <w:r>
        <w:t>Any transfusion reaction: STOP the transfusion first, then assess + notify.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Patient safety and the ABC (airway, breathing, circulation) priorities come before diagnosis, documentation and non-urgent tasks.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Continuing is unsafe. | c — Notifying follows stopping. | d — Slowing is not the protocol — stop is.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Stop → saline → assess → notify → return the bag for investigation — every reaction.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Identify (the problem) → Stabilize (ABC / patient safety) → Reassess (response) → Document (findings).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Mild transfusion allergy: stop the transfusion first.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Which disorder has the characteristic of visible peristalsis movements?</w:t>
      </w:r>
    </w:p>
    <w:p>
      <w:pPr>
        <w:spacing w:after="20" w:before="0"/>
      </w:pPr>
      <w:r>
        <w:rPr>
          <w:b w:val="0"/>
          <w:i w:val="0"/>
          <w:sz w:val="21"/>
        </w:rPr>
        <w:t>(a)  Tetralogy of Fallot</w:t>
      </w:r>
    </w:p>
    <w:p>
      <w:pPr>
        <w:spacing w:after="20" w:before="0"/>
      </w:pPr>
      <w:r>
        <w:rPr>
          <w:b w:val="0"/>
          <w:i w:val="0"/>
          <w:sz w:val="21"/>
        </w:rPr>
        <w:t>(b)  Hypertrophic pyloric stenosis</w:t>
      </w:r>
    </w:p>
    <w:p>
      <w:pPr>
        <w:spacing w:after="20" w:before="0"/>
      </w:pPr>
      <w:r>
        <w:rPr>
          <w:b w:val="0"/>
          <w:i w:val="0"/>
          <w:sz w:val="21"/>
        </w:rPr>
        <w:t>(c)  Atrial septal defect</w:t>
      </w:r>
    </w:p>
    <w:p>
      <w:pPr>
        <w:spacing w:after="20" w:before="0"/>
      </w:pPr>
      <w:r>
        <w:rPr>
          <w:b w:val="0"/>
          <w:i w:val="0"/>
          <w:sz w:val="21"/>
        </w:rPr>
        <w:t>(d)  Transposition of great arteries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HYPERTROPHIC PYLORIC STENOSIS classically shows VISIBLE GASTRIC PERISTALSIS — a left-to-right "olive" wave across the epigastrium after feeds, along with projectile vomiting in a 2-8 week old. TOF, ASD and TGA are cardiac lesions without visible peristalsis.</w:t>
      </w:r>
    </w:p>
    <w:p>
      <w:pPr>
        <w:spacing w:after="20" w:before="0"/>
      </w:pPr>
      <w:r>
        <w:rPr>
          <w:b/>
        </w:rPr>
        <w:t xml:space="preserve">🔍 Key Clues: </w:t>
      </w:r>
      <w:r>
        <w:t>Visible peristaltic waves + projectile vomiting in an infant = pyloric stenosis.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TOF is a cyanotic cardiac lesion. | c — ASD is a cardiac shunt. | d — TGA is a cardiac lesion.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Pyloric stenosis: projectile non-bilious vomiting + olive mass + visible peristalsis.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Hypertrophic pyloric stenosis: visible peristalsis + projectile vomiting.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What indicator(s) is/are seen in a patient who had undergone open heart surgery and has a fever of 120oF?</w:t>
      </w:r>
    </w:p>
    <w:p>
      <w:pPr>
        <w:spacing w:after="20" w:before="0"/>
      </w:pPr>
      <w:r>
        <w:rPr>
          <w:b w:val="0"/>
          <w:i w:val="0"/>
          <w:sz w:val="21"/>
        </w:rPr>
        <w:t>(a)  Cerebral edema</w:t>
      </w:r>
    </w:p>
    <w:p>
      <w:pPr>
        <w:spacing w:after="20" w:before="0"/>
      </w:pPr>
      <w:r>
        <w:rPr>
          <w:b w:val="0"/>
          <w:i w:val="0"/>
          <w:sz w:val="21"/>
        </w:rPr>
        <w:t>(b)  Increase cardiac output</w:t>
      </w:r>
    </w:p>
    <w:p>
      <w:pPr>
        <w:spacing w:after="20" w:before="0"/>
      </w:pPr>
      <w:r>
        <w:rPr>
          <w:b w:val="0"/>
          <w:i w:val="0"/>
          <w:sz w:val="21"/>
        </w:rPr>
        <w:t>(c)  Hemorrhage</w:t>
      </w:r>
    </w:p>
    <w:p>
      <w:pPr>
        <w:spacing w:after="20" w:before="0"/>
      </w:pPr>
      <w:r>
        <w:rPr>
          <w:b w:val="0"/>
          <w:i w:val="0"/>
          <w:sz w:val="21"/>
        </w:rPr>
        <w:t>(d)  Diaphoresis and chilling</w:t>
      </w:r>
    </w:p>
    <w:p>
      <w:pPr>
        <w:spacing w:after="80" w:before="0"/>
      </w:pPr>
      <w:r>
        <w:rPr>
          <w:b/>
          <w:i w:val="0"/>
          <w:sz w:val="22"/>
        </w:rPr>
        <w:t>Answer: d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d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A high fever after open heart surgery produces DIAPHORESIS (sweating) and CHILLING (shivering) as the body tries to regulate temperature — the indicators the nurse observes. Shivering also raises oxygen demand; fever after cardiac surgery can signal infection/hemorrhage, but the observable indicator is diaphoresis with chills.</w:t>
      </w:r>
    </w:p>
    <w:p>
      <w:pPr>
        <w:spacing w:after="20" w:before="0"/>
      </w:pPr>
      <w:r>
        <w:rPr>
          <w:b/>
        </w:rPr>
        <w:t xml:space="preserve">🔍 Key Clues: </w:t>
      </w:r>
      <w:r>
        <w:t>Fever → diaphoresis + chills (thermoregulation); monitor for post-op infection.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Cerebral oedema is not directly indicated by fever. | b — Cardiac output is not the visible indicator. | c — Hemorrhage is a possible cause, not the indicator.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Post-cardiac-surgery fever: rule out infection/endocarditis; manage shivering (oxygen demand).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Post-op fever: diaphoresis and chilling are the observed indicators.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What is the key principle of community management for a psychiatric patient?</w:t>
      </w:r>
    </w:p>
    <w:p>
      <w:pPr>
        <w:spacing w:after="20" w:before="0"/>
      </w:pPr>
      <w:r>
        <w:rPr>
          <w:b w:val="0"/>
          <w:i w:val="0"/>
          <w:sz w:val="21"/>
        </w:rPr>
        <w:t>(a)  To prevent access to mental health care services to reduce cost</w:t>
      </w:r>
    </w:p>
    <w:p>
      <w:pPr>
        <w:spacing w:after="20" w:before="0"/>
      </w:pPr>
      <w:r>
        <w:rPr>
          <w:b w:val="0"/>
          <w:i w:val="0"/>
          <w:sz w:val="21"/>
        </w:rPr>
        <w:t>(b)  To enhance collaboration with other health care providers</w:t>
      </w:r>
    </w:p>
    <w:p>
      <w:pPr>
        <w:spacing w:after="20" w:before="0"/>
      </w:pPr>
      <w:r>
        <w:rPr>
          <w:b w:val="0"/>
          <w:i w:val="0"/>
          <w:sz w:val="21"/>
        </w:rPr>
        <w:t>(c)  To maintain isolation from society</w:t>
      </w:r>
    </w:p>
    <w:p>
      <w:pPr>
        <w:spacing w:after="20" w:before="0"/>
      </w:pPr>
      <w:r>
        <w:rPr>
          <w:b w:val="0"/>
          <w:i w:val="0"/>
          <w:sz w:val="21"/>
        </w:rPr>
        <w:t>(d)  To strengthen organizational support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The key principle of COMMUNITY mental-health management is ENHANCING COLLABORATION with other health care providers — a multidisciplinary, integrated approach (psychiatrist, psychiatric nurse, social worker, family) ensures continuity of care and rehabilitation in the community.</w:t>
      </w:r>
    </w:p>
    <w:p>
      <w:pPr>
        <w:spacing w:after="20" w:before="0"/>
      </w:pPr>
      <w:r>
        <w:rPr>
          <w:b/>
        </w:rPr>
        <w:t xml:space="preserve">🔍 Key Clues: </w:t>
      </w:r>
      <w:r>
        <w:t>Community psychiatry: multidisciplinary collaboration + family involvement + continuity.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Patient safety and dignity guide care — reduce risk, avoid confrontation and involve the patient.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Preventing access is the opposite of community care. | c — Isolation contradicts community integration. | d — Organisational support is secondary to collaboration.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Community mental health: deinstitutionalisation, integration, collaboration, family support.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Community psychiatric care: collaboration with all care providers.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Which statement among the following is true regarding Inactivated Poliovirus Vaccine (IPV)?</w:t>
      </w:r>
    </w:p>
    <w:p>
      <w:pPr>
        <w:spacing w:after="20" w:before="0"/>
      </w:pPr>
      <w:r>
        <w:rPr>
          <w:b w:val="0"/>
          <w:i w:val="0"/>
          <w:sz w:val="21"/>
        </w:rPr>
        <w:t>(a)  It is more potent than OPV</w:t>
      </w:r>
    </w:p>
    <w:p>
      <w:pPr>
        <w:spacing w:after="20" w:before="0"/>
      </w:pPr>
      <w:r>
        <w:rPr>
          <w:b w:val="0"/>
          <w:i w:val="0"/>
          <w:sz w:val="21"/>
        </w:rPr>
        <w:t>(b)  It protects from all strains of poliovirus</w:t>
      </w:r>
    </w:p>
    <w:p>
      <w:pPr>
        <w:spacing w:after="20" w:before="0"/>
      </w:pPr>
      <w:r>
        <w:rPr>
          <w:b w:val="0"/>
          <w:i w:val="0"/>
          <w:sz w:val="21"/>
        </w:rPr>
        <w:t>(c)  It protects from wild virus</w:t>
      </w:r>
    </w:p>
    <w:p>
      <w:pPr>
        <w:spacing w:after="20" w:before="0"/>
      </w:pPr>
      <w:r>
        <w:rPr>
          <w:b w:val="0"/>
          <w:i w:val="0"/>
          <w:sz w:val="21"/>
        </w:rPr>
        <w:t>(d)  It is given at birth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IPV PROTECTS FROM ALL STRAINS (serotypes 1, 2, 3) of poliovirus — this is the true statement. OPV is more potent in intestinal immunity; IPV is not "given at birth" (OPV-0 is the birth dose); both vaccines protect from wild virus.</w:t>
      </w:r>
    </w:p>
    <w:p>
      <w:pPr>
        <w:spacing w:after="20" w:before="0"/>
      </w:pPr>
      <w:r>
        <w:rPr>
          <w:b/>
        </w:rPr>
        <w:t xml:space="preserve">🔍 Key Clues: </w:t>
      </w:r>
      <w:r>
        <w:t>IPV: all 3 serotypes, injectable (Salk), safer (no VAPP).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Medication safety — the right drug, right dose, right route, right time and right patient — governs every administration decision.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OPV is more potent in gut immunity. | c — Both IPV and OPV protect from wild virus. | d — The birth dose is OPV, not IPV.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IPV = inactivated (Salk, injection); OPV = live attenuated (Sabin, oral, more gut immunity).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IPV protects against all three poliovirus strains.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A patient with schizophrenia is getting agitated and after the administration of lorazepam IV, he becomes normal and start talking to others by asking food.</w:t>
        <w:tab/>
        <w:t>What is the name of this effect after giving lorazepam?</w:t>
      </w:r>
    </w:p>
    <w:p>
      <w:pPr>
        <w:spacing w:after="20" w:before="0"/>
      </w:pPr>
      <w:r>
        <w:rPr>
          <w:b w:val="0"/>
          <w:i w:val="0"/>
          <w:sz w:val="21"/>
        </w:rPr>
        <w:t>(a)  Halo effect</w:t>
      </w:r>
    </w:p>
    <w:p>
      <w:pPr>
        <w:spacing w:after="20" w:before="0"/>
      </w:pPr>
      <w:r>
        <w:rPr>
          <w:b w:val="0"/>
          <w:i w:val="0"/>
          <w:sz w:val="21"/>
        </w:rPr>
        <w:t>(b)  Korsakoff effect</w:t>
      </w:r>
    </w:p>
    <w:p>
      <w:pPr>
        <w:spacing w:after="20" w:before="0"/>
      </w:pPr>
      <w:r>
        <w:rPr>
          <w:b w:val="0"/>
          <w:i w:val="0"/>
          <w:sz w:val="21"/>
        </w:rPr>
        <w:t>(c)  Larenz effect</w:t>
      </w:r>
    </w:p>
    <w:p>
      <w:pPr>
        <w:spacing w:after="20" w:before="0"/>
      </w:pPr>
      <w:r>
        <w:rPr>
          <w:b w:val="0"/>
          <w:i w:val="0"/>
          <w:sz w:val="21"/>
        </w:rPr>
        <w:t>(d)  Fatuous effect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Per the printed key, the calming, "normalising" response after IV lorazepam is termed the HALO EFFECT — the benzodiazepine rapidly settles agitation in schizophrenia. Korsakoff is the amnesic syndrome of thiamine deficiency; the other options are distractor terms.</w:t>
      </w:r>
    </w:p>
    <w:p>
      <w:pPr>
        <w:spacing w:after="20" w:before="0"/>
      </w:pPr>
      <w:r>
        <w:rPr>
          <w:b/>
        </w:rPr>
        <w:t xml:space="preserve">🔍 Key Clues: </w:t>
      </w:r>
      <w:r>
        <w:t>Lorazepam IV calming an agitated schizophrenic = "halo effect" per the key.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Patient safety and dignity guide care — reduce risk, avoid confrontation and involve the patient.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Korsakoff = amnesia of alcohol/thiamine deficiency. | c — Larenz is not a recognised effect here. | d — Fatuous is not the term.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Rapid tranquillisation: lorazepam IV is the standard for acute agitation in schizophrenia.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IV lorazepam settles acute agitation — keyed as the "halo effect".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What is the ideal route for the administration of intralipids?</w:t>
      </w:r>
    </w:p>
    <w:p>
      <w:pPr>
        <w:spacing w:after="20" w:before="0"/>
      </w:pPr>
      <w:r>
        <w:rPr>
          <w:b w:val="0"/>
          <w:i w:val="0"/>
          <w:sz w:val="21"/>
        </w:rPr>
        <w:t>(a)  Peripheral line</w:t>
      </w:r>
    </w:p>
    <w:p>
      <w:pPr>
        <w:spacing w:after="20" w:before="0"/>
      </w:pPr>
      <w:r>
        <w:rPr>
          <w:b w:val="0"/>
          <w:i w:val="0"/>
          <w:sz w:val="21"/>
        </w:rPr>
        <w:t>(b)  Intramuscular</w:t>
      </w:r>
    </w:p>
    <w:p>
      <w:pPr>
        <w:spacing w:after="20" w:before="0"/>
      </w:pPr>
      <w:r>
        <w:rPr>
          <w:b w:val="0"/>
          <w:i w:val="0"/>
          <w:sz w:val="21"/>
        </w:rPr>
        <w:t>(c)  Central line</w:t>
      </w:r>
    </w:p>
    <w:p>
      <w:pPr>
        <w:spacing w:after="20" w:before="0"/>
      </w:pPr>
      <w:r>
        <w:rPr>
          <w:b w:val="0"/>
          <w:i w:val="0"/>
          <w:sz w:val="21"/>
        </w:rPr>
        <w:t>(d)  Gastrostomy</w:t>
      </w:r>
    </w:p>
    <w:p>
      <w:pPr>
        <w:spacing w:after="80" w:before="0"/>
      </w:pPr>
      <w:r>
        <w:rPr>
          <w:b/>
          <w:i w:val="0"/>
          <w:sz w:val="22"/>
        </w:rPr>
        <w:t>Answer: c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c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INTRALIPIDS (IV fat emulsion for parenteral nutrition) are ideally given via a CENTRAL LINE — lipid emulsions are hyperosmolar and irritate peripheral veins, causing phlebitis/embolism risk; central administration allows safe infusion. IM and gastrostomy routes are not used.</w:t>
      </w:r>
    </w:p>
    <w:p>
      <w:pPr>
        <w:spacing w:after="20" w:before="0"/>
      </w:pPr>
      <w:r>
        <w:rPr>
          <w:b/>
        </w:rPr>
        <w:t xml:space="preserve">🔍 Key Clues: </w:t>
      </w:r>
      <w:r>
        <w:t>Intralipids → central line (hyperosmolar, irritant to peripheral veins).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Peripheral lines are for isotonic/low-osmolar fluids. | b — IM is not a lipid route. | d — Gastrostomy is enteral, not IV lipid.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PN components: dextrose/amino acids/lipids — lipids and concentrated solutions go central.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Intralipids: central line administration.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At what time, drug reconciliation typically occurs?</w:t>
      </w:r>
    </w:p>
    <w:p>
      <w:pPr>
        <w:spacing w:after="20" w:before="0"/>
      </w:pPr>
      <w:r>
        <w:rPr>
          <w:b w:val="0"/>
          <w:i w:val="0"/>
          <w:sz w:val="21"/>
        </w:rPr>
        <w:t>(a)  At the time of admission</w:t>
      </w:r>
    </w:p>
    <w:p>
      <w:pPr>
        <w:spacing w:after="20" w:before="0"/>
      </w:pPr>
      <w:r>
        <w:rPr>
          <w:b w:val="0"/>
          <w:i w:val="0"/>
          <w:sz w:val="21"/>
        </w:rPr>
        <w:t>(b)  At the time of annual checkups</w:t>
      </w:r>
    </w:p>
    <w:p>
      <w:pPr>
        <w:spacing w:after="20" w:before="0"/>
      </w:pPr>
      <w:r>
        <w:rPr>
          <w:b w:val="0"/>
          <w:i w:val="0"/>
          <w:sz w:val="21"/>
        </w:rPr>
        <w:t>(c)  It can occur at any stage like admission, transfer and discharge</w:t>
      </w:r>
    </w:p>
    <w:p>
      <w:pPr>
        <w:spacing w:after="20" w:before="0"/>
      </w:pPr>
      <w:r>
        <w:rPr>
          <w:b w:val="0"/>
          <w:i w:val="0"/>
          <w:sz w:val="21"/>
        </w:rPr>
        <w:t>(d)  At the time of discharge</w:t>
      </w:r>
    </w:p>
    <w:p>
      <w:pPr>
        <w:spacing w:after="80" w:before="0"/>
      </w:pPr>
      <w:r>
        <w:rPr>
          <w:b/>
          <w:i w:val="0"/>
          <w:sz w:val="22"/>
        </w:rPr>
        <w:t>Answer: c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c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MEDICATION RECONCILIATION compares a patient’s medication list with the current prescriptions at every care TRANSITION — ADMISSION, TRANSFER and DISCHARGE. It prevents omissions, duplications and interactions across the continuum.</w:t>
      </w:r>
    </w:p>
    <w:p>
      <w:pPr>
        <w:spacing w:after="20" w:before="0"/>
      </w:pPr>
      <w:r>
        <w:rPr>
          <w:b/>
        </w:rPr>
        <w:t xml:space="preserve">🔍 Key Clues: </w:t>
      </w:r>
      <w:r>
        <w:t>Medication reconciliation: at admission, transfer and discharge (all transitions).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Medication safety — the right drug, right dose, right route, right time and right patient — governs every administration decision.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Admission is one of the times, but not the only one. | b — Annual checkups are not the focus. | d — Discharge alone is incomplete.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Reconciliation happens at EVERY hand-off where medications change.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Medication reconciliation: at admission, transfer and discharge.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At which stage the child’s area of interest is genitalia in the Theory of Psychosexual Development?</w:t>
      </w:r>
    </w:p>
    <w:p>
      <w:pPr>
        <w:spacing w:after="20" w:before="0"/>
      </w:pPr>
      <w:r>
        <w:rPr>
          <w:b w:val="0"/>
          <w:i w:val="0"/>
          <w:sz w:val="21"/>
        </w:rPr>
        <w:t>(a)  Oral stage</w:t>
      </w:r>
    </w:p>
    <w:p>
      <w:pPr>
        <w:spacing w:after="20" w:before="0"/>
      </w:pPr>
      <w:r>
        <w:rPr>
          <w:b w:val="0"/>
          <w:i w:val="0"/>
          <w:sz w:val="21"/>
        </w:rPr>
        <w:t>(b)  Anal stage</w:t>
      </w:r>
    </w:p>
    <w:p>
      <w:pPr>
        <w:spacing w:after="20" w:before="0"/>
      </w:pPr>
      <w:r>
        <w:rPr>
          <w:b w:val="0"/>
          <w:i w:val="0"/>
          <w:sz w:val="21"/>
        </w:rPr>
        <w:t>(c)  Phallic stage</w:t>
      </w:r>
    </w:p>
    <w:p>
      <w:pPr>
        <w:spacing w:after="20" w:before="0"/>
      </w:pPr>
      <w:r>
        <w:rPr>
          <w:b w:val="0"/>
          <w:i w:val="0"/>
          <w:sz w:val="21"/>
        </w:rPr>
        <w:t>(d)  Latent stage</w:t>
      </w:r>
    </w:p>
    <w:p>
      <w:pPr>
        <w:spacing w:after="80" w:before="0"/>
      </w:pPr>
      <w:r>
        <w:rPr>
          <w:b/>
          <w:i w:val="0"/>
          <w:sz w:val="22"/>
        </w:rPr>
        <w:t>Answer: c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c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In Freud’s psychosexual theory, the PHALLIC STAGE (3-6 years) is when the child’s interest centres on the GENITALIA (Oedipus/Electra complex). Oral = mouth, anal = elimination, latency = dormant sexuality.</w:t>
      </w:r>
    </w:p>
    <w:p>
      <w:pPr>
        <w:spacing w:after="20" w:before="0"/>
      </w:pPr>
      <w:r>
        <w:rPr>
          <w:b/>
        </w:rPr>
        <w:t xml:space="preserve">🔍 Key Clues: </w:t>
      </w:r>
      <w:r>
        <w:t>Genitalia interest = phallic stage.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Patient safety and dignity guide care — reduce risk, avoid confrontation and involve the patient.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Oral = mouth (0-1 y). | b — Anal = elimination (1-3 y). | d — Latent = sexuality dormant (6-12 y).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Phallic (genitals, 3-6 y) vs genital (mature sexuality, puberty) — the "i" letters differ.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Phallic stage: interest in the genitalia.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When a nurse says to the patient that he or she is well groomed that day, the statement is referred to as?</w:t>
      </w:r>
    </w:p>
    <w:p>
      <w:pPr>
        <w:spacing w:after="20" w:before="0"/>
      </w:pPr>
      <w:r>
        <w:rPr>
          <w:b w:val="0"/>
          <w:i w:val="0"/>
          <w:sz w:val="21"/>
        </w:rPr>
        <w:t>(a)  Broad opening</w:t>
      </w:r>
    </w:p>
    <w:p>
      <w:pPr>
        <w:spacing w:after="20" w:before="0"/>
      </w:pPr>
      <w:r>
        <w:rPr>
          <w:b w:val="0"/>
          <w:i w:val="0"/>
          <w:sz w:val="21"/>
        </w:rPr>
        <w:t>(b)  Giving recognition</w:t>
      </w:r>
    </w:p>
    <w:p>
      <w:pPr>
        <w:spacing w:after="20" w:before="0"/>
      </w:pPr>
      <w:r>
        <w:rPr>
          <w:b w:val="0"/>
          <w:i w:val="0"/>
          <w:sz w:val="21"/>
        </w:rPr>
        <w:t>(c)  Good rapport</w:t>
      </w:r>
    </w:p>
    <w:p>
      <w:pPr>
        <w:spacing w:after="20" w:before="0"/>
      </w:pPr>
      <w:r>
        <w:rPr>
          <w:b w:val="0"/>
          <w:i w:val="0"/>
          <w:sz w:val="21"/>
        </w:rPr>
        <w:t>(d)  False affirmation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Complimenting the patient’s grooming ("you are well groomed today") is GIVING RECOGNITION — acknowledging and reinforcing the patient’s positive behaviour/appearance, a therapeutic-communication technique that builds self-esteem and rapport.</w:t>
      </w:r>
    </w:p>
    <w:p>
      <w:pPr>
        <w:spacing w:after="20" w:before="0"/>
      </w:pPr>
      <w:r>
        <w:rPr>
          <w:b/>
        </w:rPr>
        <w:t xml:space="preserve">🔍 Key Clues: </w:t>
      </w:r>
      <w:r>
        <w:t>Praising grooming = giving recognition (therapeutic technique).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Broad opening = a general lead-in ("tell me about…"). | c — Rapport is the relationship, not the statement type. | d — False affirmation is dishonesty — this is genuine praise.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Recognition reinforces positive behaviour; broad opening invites the patient to begin.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"You look well groomed" = giving recognition.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What is the usable size of the suction catheter for a 60 years old patient?</w:t>
      </w:r>
    </w:p>
    <w:p>
      <w:pPr>
        <w:spacing w:after="20" w:before="0"/>
      </w:pPr>
      <w:r>
        <w:rPr>
          <w:b w:val="0"/>
          <w:i w:val="0"/>
          <w:sz w:val="21"/>
        </w:rPr>
        <w:t>(a)  8-12 fr</w:t>
      </w:r>
    </w:p>
    <w:p>
      <w:pPr>
        <w:spacing w:after="20" w:before="0"/>
      </w:pPr>
      <w:r>
        <w:rPr>
          <w:b w:val="0"/>
          <w:i w:val="0"/>
          <w:sz w:val="21"/>
        </w:rPr>
        <w:t>(b)  14-18 fr</w:t>
      </w:r>
    </w:p>
    <w:p>
      <w:pPr>
        <w:spacing w:after="20" w:before="0"/>
      </w:pPr>
      <w:r>
        <w:rPr>
          <w:b w:val="0"/>
          <w:i w:val="0"/>
          <w:sz w:val="21"/>
        </w:rPr>
        <w:t>(c)  20-24 fr</w:t>
      </w:r>
    </w:p>
    <w:p>
      <w:pPr>
        <w:spacing w:after="20" w:before="0"/>
      </w:pPr>
      <w:r>
        <w:rPr>
          <w:b w:val="0"/>
          <w:i w:val="0"/>
          <w:sz w:val="21"/>
        </w:rPr>
        <w:t>(d)  24-28 fr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For an ADULT, the suction catheter size is 12–18 Fr (the keyed range: 14-18 Fr); the general rule is to use the largest catheter that passes easily, about half the internal diameter of the ET tube. 8-12 Fr is for children; 20+ Fr is too large for routine adult suctioning.</w:t>
      </w:r>
    </w:p>
    <w:p>
      <w:pPr>
        <w:spacing w:after="20" w:before="0"/>
      </w:pPr>
      <w:r>
        <w:rPr>
          <w:b/>
        </w:rPr>
        <w:t xml:space="preserve">🔍 Key Clues: </w:t>
      </w:r>
      <w:r>
        <w:t>Adult suction catheter: 12-18 Fr (14-18 keyed); half the ET-tube diameter.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8-12 Fr is the paediatric range. | c — 20-24 Fr is too large. | d — 24-28 Fr is too large.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Suction catheter ≈ half the ET tube ID — too large causes trauma and hypoxia.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Adult suction catheter: 14-18 Fr.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What test should be done to diagnose cystic fibrosis in a child?</w:t>
      </w:r>
    </w:p>
    <w:p>
      <w:pPr>
        <w:spacing w:after="20" w:before="0"/>
      </w:pPr>
      <w:r>
        <w:rPr>
          <w:b w:val="0"/>
          <w:i w:val="0"/>
          <w:sz w:val="21"/>
        </w:rPr>
        <w:t>(a)  Phosphoaminase test</w:t>
      </w:r>
    </w:p>
    <w:p>
      <w:pPr>
        <w:spacing w:after="20" w:before="0"/>
      </w:pPr>
      <w:r>
        <w:rPr>
          <w:b w:val="0"/>
          <w:i w:val="0"/>
          <w:sz w:val="21"/>
        </w:rPr>
        <w:t>(b)  Sweat test</w:t>
      </w:r>
    </w:p>
    <w:p>
      <w:pPr>
        <w:spacing w:after="20" w:before="0"/>
      </w:pPr>
      <w:r>
        <w:rPr>
          <w:b w:val="0"/>
          <w:i w:val="0"/>
          <w:sz w:val="21"/>
        </w:rPr>
        <w:t>(c)  Urine test</w:t>
      </w:r>
    </w:p>
    <w:p>
      <w:pPr>
        <w:spacing w:after="20" w:before="0"/>
      </w:pPr>
      <w:r>
        <w:rPr>
          <w:b w:val="0"/>
          <w:i w:val="0"/>
          <w:sz w:val="21"/>
        </w:rPr>
        <w:t>(d)  Stool test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The SWEAT TEST (chloride &gt; 60 mEq/L) is the diagnostic test for CYSTIC FIBROSIS — CF causes defective chloride transport, producing abnormally salty sweat. Newborn screening uses immunoreactive trypsinogen; the sweat test confirms.</w:t>
      </w:r>
    </w:p>
    <w:p>
      <w:pPr>
        <w:spacing w:after="20" w:before="0"/>
      </w:pPr>
      <w:r>
        <w:rPr>
          <w:b/>
        </w:rPr>
        <w:t xml:space="preserve">🔍 Key Clues: </w:t>
      </w:r>
      <w:r>
        <w:t>CF diagnosis: sweat chloride &gt; 60 mEq/L.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There is no "phosphoaminase test" for CF. | c — Urine is not diagnostic. | d — Stool fat (steatorrhea) is a feature, not the diagnostic test.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"Salty baby" = CF; sweat chloride confirms; treat with enzymes, chest physiotherapy.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Cystic fibrosis: sweat chloride test (&gt; 60 mEq/L).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Visible bowel loops are seen in:</w:t>
      </w:r>
    </w:p>
    <w:p>
      <w:pPr>
        <w:spacing w:after="20" w:before="0"/>
      </w:pPr>
      <w:r>
        <w:rPr>
          <w:b w:val="0"/>
          <w:i w:val="0"/>
          <w:sz w:val="21"/>
        </w:rPr>
        <w:t>(a)  TEF</w:t>
      </w:r>
    </w:p>
    <w:p>
      <w:pPr>
        <w:spacing w:after="20" w:before="0"/>
      </w:pPr>
      <w:r>
        <w:rPr>
          <w:b w:val="0"/>
          <w:i w:val="0"/>
          <w:sz w:val="21"/>
        </w:rPr>
        <w:t>(b)  Necrotizing enterocolitis</w:t>
      </w:r>
    </w:p>
    <w:p>
      <w:pPr>
        <w:spacing w:after="20" w:before="0"/>
      </w:pPr>
      <w:r>
        <w:rPr>
          <w:b w:val="0"/>
          <w:i w:val="0"/>
          <w:sz w:val="21"/>
        </w:rPr>
        <w:t>(c)  Hypertrophic pyloric stenosis</w:t>
      </w:r>
    </w:p>
    <w:p>
      <w:pPr>
        <w:spacing w:after="20" w:before="0"/>
      </w:pPr>
      <w:r>
        <w:rPr>
          <w:b w:val="0"/>
          <w:i w:val="0"/>
          <w:sz w:val="21"/>
        </w:rPr>
        <w:t>(d)  Diaphragmatic hernia</w:t>
      </w:r>
    </w:p>
    <w:p>
      <w:pPr>
        <w:spacing w:after="80" w:before="0"/>
      </w:pPr>
      <w:r>
        <w:rPr>
          <w:b/>
          <w:i w:val="0"/>
          <w:sz w:val="22"/>
        </w:rPr>
        <w:t>Answer: d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d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VISIBLE BOWEL LOOPS in the CHEST suggest a DIAPHRAGMATIC HERNIA — abdominal contents (bowel) herniate into the thorax through a diaphragmatic defect (seen on X-ray as bowel loops in the chest with respiratory distress at birth). NEC shows bowel loops on the abdominal film; the keyed answer for visible chest bowel loops is diaphragmatic hernia.</w:t>
      </w:r>
    </w:p>
    <w:p>
      <w:pPr>
        <w:spacing w:after="20" w:before="0"/>
      </w:pPr>
      <w:r>
        <w:rPr>
          <w:b/>
        </w:rPr>
        <w:t xml:space="preserve">🔍 Key Clues: </w:t>
      </w:r>
      <w:r>
        <w:t>Bowel loops in the chest = congenital diaphragmatic hernia.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TEF = esophageal-tracheal fistula, no chest bowel. | b — NEC shows abdominal pneumatosis, not chest loops. | c — HPS shows an olive mass, not chest bowel.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CDH: bowel in the chest + scaphoid abdomen + respiratory distress at birth.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Visible bowel loops (chest): diaphragmatic hernia.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When a nurse inserts NG tube in a baby with drooling saliva, she finds out that the tube is not going down. What is the name of the condition?</w:t>
      </w:r>
    </w:p>
    <w:p>
      <w:pPr>
        <w:spacing w:after="20" w:before="0"/>
      </w:pPr>
      <w:r>
        <w:rPr>
          <w:b w:val="0"/>
          <w:i w:val="0"/>
          <w:sz w:val="21"/>
        </w:rPr>
        <w:t>(a)  Tracheoesophageal fistula</w:t>
      </w:r>
    </w:p>
    <w:p>
      <w:pPr>
        <w:spacing w:after="20" w:before="0"/>
      </w:pPr>
      <w:r>
        <w:rPr>
          <w:b w:val="0"/>
          <w:i w:val="0"/>
          <w:sz w:val="21"/>
        </w:rPr>
        <w:t>(b)  Tetralogy of Fallot</w:t>
      </w:r>
    </w:p>
    <w:p>
      <w:pPr>
        <w:spacing w:after="20" w:before="0"/>
      </w:pPr>
      <w:r>
        <w:rPr>
          <w:b w:val="0"/>
          <w:i w:val="0"/>
          <w:sz w:val="21"/>
        </w:rPr>
        <w:t>(c)  Malposition of great arteries</w:t>
      </w:r>
    </w:p>
    <w:p>
      <w:pPr>
        <w:spacing w:after="20" w:before="0"/>
      </w:pPr>
      <w:r>
        <w:rPr>
          <w:b w:val="0"/>
          <w:i w:val="0"/>
          <w:sz w:val="21"/>
        </w:rPr>
        <w:t>(d)  Cardiac disease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DROOLING SALIVA + the NG tube not passing into the stomach = TRACHEOESOPHAGEAL FISTULA (TEF) with oesophageal atresia — the blind oesophageal pouch prevents tube passage and saliva pools (drooling). Suspect TEF in any newborn with excessive drooling and choking on first feeds.</w:t>
      </w:r>
    </w:p>
    <w:p>
      <w:pPr>
        <w:spacing w:after="20" w:before="0"/>
      </w:pPr>
      <w:r>
        <w:rPr>
          <w:b/>
        </w:rPr>
        <w:t xml:space="preserve">🔍 Key Clues: </w:t>
      </w:r>
      <w:r>
        <w:t>Drooling + NG tube cannot pass = esophageal atresia/TEF.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Mother-and-baby safety first — prevent complications before they occur and act promptly when they do.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TOF is a cardiac cyanotic lesion. | c — Great-artery malposition is cardiac. | d — Cardiac disease is not the tube-passage problem.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TEF: excessive drooling, choking with feeds, inability to pass NG tube → confirm with X-ray.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NG tube fails to pass + drooling = tracheoesophageal fistula.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Which technique is used to sterilize surgical items which are sensitive to heat and moisture?</w:t>
      </w:r>
    </w:p>
    <w:p>
      <w:pPr>
        <w:spacing w:after="20" w:before="0"/>
      </w:pPr>
      <w:r>
        <w:rPr>
          <w:b w:val="0"/>
          <w:i w:val="0"/>
          <w:sz w:val="21"/>
        </w:rPr>
        <w:t>(a)  Autoclave</w:t>
      </w:r>
    </w:p>
    <w:p>
      <w:pPr>
        <w:spacing w:after="20" w:before="0"/>
      </w:pPr>
      <w:r>
        <w:rPr>
          <w:b w:val="0"/>
          <w:i w:val="0"/>
          <w:sz w:val="21"/>
        </w:rPr>
        <w:t>(b)  Dry heat</w:t>
      </w:r>
    </w:p>
    <w:p>
      <w:pPr>
        <w:spacing w:after="20" w:before="0"/>
      </w:pPr>
      <w:r>
        <w:rPr>
          <w:b w:val="0"/>
          <w:i w:val="0"/>
          <w:sz w:val="21"/>
        </w:rPr>
        <w:t>(c)  Moist heat</w:t>
      </w:r>
    </w:p>
    <w:p>
      <w:pPr>
        <w:spacing w:after="20" w:before="0"/>
      </w:pPr>
      <w:r>
        <w:rPr>
          <w:b w:val="0"/>
          <w:i w:val="0"/>
          <w:sz w:val="21"/>
        </w:rPr>
        <w:t>(d)  Ethylene oxide gas</w:t>
      </w:r>
    </w:p>
    <w:p>
      <w:pPr>
        <w:spacing w:after="80" w:before="0"/>
      </w:pPr>
      <w:r>
        <w:rPr>
          <w:b/>
          <w:i w:val="0"/>
          <w:sz w:val="22"/>
        </w:rPr>
        <w:t>Answer: d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d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Items SENSITIVE to heat and moisture (plastic, rubber, delicate instruments, endoscopes) are sterilized by ETHYLENE OXIDE (EO) GAS — a low-temperature chemical sterilant. Autoclave (moist heat, 121-134°C) and dry heat damage heat/moisture-sensitive items.</w:t>
      </w:r>
    </w:p>
    <w:p>
      <w:pPr>
        <w:spacing w:after="20" w:before="0"/>
      </w:pPr>
      <w:r>
        <w:rPr>
          <w:b/>
        </w:rPr>
        <w:t xml:space="preserve">🔍 Key Clues: </w:t>
      </w:r>
      <w:r>
        <w:t>Heat- and moisture-sensitive → ethylene oxide gas sterilization.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Prevention and asepsis first — safe handling and precautions protect both the patient and the caregiver.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Autoclave = high-temperature steam — damages these items. | b — Dry heat = high temperature. | c — Moist heat = autoclave.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Sterilisation ladder: autoclave (general), dry heat (powders/oils), EO gas (heat-sensitive), radiation (disposables).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Heat/moisture-sensitive items: ethylene oxide gas sterilization.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What is the role of the nurse after assisting in central line catheter insertion?</w:t>
      </w:r>
    </w:p>
    <w:p>
      <w:pPr>
        <w:spacing w:after="20" w:before="0"/>
      </w:pPr>
      <w:r>
        <w:rPr>
          <w:b w:val="0"/>
          <w:i w:val="0"/>
          <w:sz w:val="21"/>
        </w:rPr>
        <w:t>(a)  Secure catheter with aseptic technique</w:t>
      </w:r>
    </w:p>
    <w:p>
      <w:pPr>
        <w:spacing w:after="20" w:before="0"/>
      </w:pPr>
      <w:r>
        <w:rPr>
          <w:b w:val="0"/>
          <w:i w:val="0"/>
          <w:sz w:val="21"/>
        </w:rPr>
        <w:t>(b)  Flush all ports of catheter</w:t>
      </w:r>
    </w:p>
    <w:p>
      <w:pPr>
        <w:spacing w:after="20" w:before="0"/>
      </w:pPr>
      <w:r>
        <w:rPr>
          <w:b w:val="0"/>
          <w:i w:val="0"/>
          <w:sz w:val="21"/>
        </w:rPr>
        <w:t>(c)  Call for X ray to assess the line’s position</w:t>
      </w:r>
    </w:p>
    <w:p>
      <w:pPr>
        <w:spacing w:after="20" w:before="0"/>
      </w:pPr>
      <w:r>
        <w:rPr>
          <w:b w:val="0"/>
          <w:i w:val="0"/>
          <w:sz w:val="21"/>
        </w:rPr>
        <w:t>(d)  Do dry and transparent dressing</w:t>
      </w:r>
    </w:p>
    <w:p>
      <w:pPr>
        <w:spacing w:after="80" w:before="0"/>
      </w:pPr>
      <w:r>
        <w:rPr>
          <w:b/>
          <w:i w:val="0"/>
          <w:sz w:val="22"/>
        </w:rPr>
        <w:t>Answer: c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c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After CENTRAL LINE insertion, the essential nurse role is to CALL FOR A CHEST X-RAY to confirm the TIP POSITION and exclude PNEUMOTHORAX before the line is used. Securing, flushing and dressing follow once the position is confirmed.</w:t>
      </w:r>
    </w:p>
    <w:p>
      <w:pPr>
        <w:spacing w:after="20" w:before="0"/>
      </w:pPr>
      <w:r>
        <w:rPr>
          <w:b/>
        </w:rPr>
        <w:t xml:space="preserve">🔍 Key Clues: </w:t>
      </w:r>
      <w:r>
        <w:t>Post-CVC: X-ray to confirm tip position + exclude pneumothorax before use.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Securing is done, but position confirmation comes first. | b — Flushing waits for confirmation. | d — Dressing is applied after confirmation.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Never use a central line until its tip position is confirmed radiologically.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After central line insertion: chest X-ray for tip position.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Which medication should be given to a patient with headache that occurs after the exposure of light?</w:t>
      </w:r>
    </w:p>
    <w:p>
      <w:pPr>
        <w:spacing w:after="20" w:before="0"/>
      </w:pPr>
      <w:r>
        <w:rPr>
          <w:b w:val="0"/>
          <w:i w:val="0"/>
          <w:sz w:val="21"/>
        </w:rPr>
        <w:t>(a)  Injection Ketotaolac 15 mg IV</w:t>
      </w:r>
    </w:p>
    <w:p>
      <w:pPr>
        <w:spacing w:after="20" w:before="0"/>
      </w:pPr>
      <w:r>
        <w:rPr>
          <w:b w:val="0"/>
          <w:i w:val="0"/>
          <w:sz w:val="21"/>
        </w:rPr>
        <w:t>(b)  Injection Metoclopramide 10 mg IV</w:t>
      </w:r>
    </w:p>
    <w:p>
      <w:pPr>
        <w:spacing w:after="20" w:before="0"/>
      </w:pPr>
      <w:r>
        <w:rPr>
          <w:b w:val="0"/>
          <w:i w:val="0"/>
          <w:sz w:val="21"/>
        </w:rPr>
        <w:t>(c)  Injection Diazepam 5 mg IV</w:t>
      </w:r>
    </w:p>
    <w:p>
      <w:pPr>
        <w:spacing w:after="20" w:before="0"/>
      </w:pPr>
      <w:r>
        <w:rPr>
          <w:b w:val="0"/>
          <w:i w:val="0"/>
          <w:sz w:val="21"/>
        </w:rPr>
        <w:t>(d)  Injection Morphine 4 mg IV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A headache worsened by LIGHT (photophobia) suggests MIGRAINE — treated acutely with KETOROLAC (an NSAID) 15 mg IV, often with an antiemetic, in a dark quiet room. Metoclopramide is an antiemetic adjunct; diazepam and morphine are not the first-line migraine analgesics.</w:t>
      </w:r>
    </w:p>
    <w:p>
      <w:pPr>
        <w:spacing w:after="20" w:before="0"/>
      </w:pPr>
      <w:r>
        <w:rPr>
          <w:b/>
        </w:rPr>
        <w:t xml:space="preserve">🔍 Key Clues: </w:t>
      </w:r>
      <w:r>
        <w:t>Photophobia + headache = migraine → IV ketorolac.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Medication safety — the right drug, right dose, right route, right time and right patient — governs every administration decision.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Metoclopramide is adjunctive (nausea). | c — Diazepam is not the acute drug. | d — Morphine is avoided in migraine.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Migraine acute care: NSAID + antiemetic + dark quiet environment.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Photophobic headache (migraine): IV ketorolac.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What a nurse should do if the central line dressing is soiled?</w:t>
      </w:r>
    </w:p>
    <w:p>
      <w:pPr>
        <w:spacing w:after="20" w:before="0"/>
      </w:pPr>
      <w:r>
        <w:rPr>
          <w:b w:val="0"/>
          <w:i w:val="0"/>
          <w:sz w:val="21"/>
        </w:rPr>
        <w:t>(a)  Notify the doctor</w:t>
      </w:r>
    </w:p>
    <w:p>
      <w:pPr>
        <w:spacing w:after="20" w:before="0"/>
      </w:pPr>
      <w:r>
        <w:rPr>
          <w:b w:val="0"/>
          <w:i w:val="0"/>
          <w:sz w:val="21"/>
        </w:rPr>
        <w:t>(b)  Change the dressing and do dry clean dressing</w:t>
      </w:r>
    </w:p>
    <w:p>
      <w:pPr>
        <w:spacing w:after="20" w:before="0"/>
      </w:pPr>
      <w:r>
        <w:rPr>
          <w:b w:val="0"/>
          <w:i w:val="0"/>
          <w:sz w:val="21"/>
        </w:rPr>
        <w:t>(c)  Inform to senior nurse</w:t>
      </w:r>
    </w:p>
    <w:p>
      <w:pPr>
        <w:spacing w:after="20" w:before="0"/>
      </w:pPr>
      <w:r>
        <w:rPr>
          <w:b w:val="0"/>
          <w:i w:val="0"/>
          <w:sz w:val="21"/>
        </w:rPr>
        <w:t>(d)  Change the dressing every second day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A SOILED central-line dressing is changed IMMEDIATELY — remove it, clean the site and apply a fresh DRY, sterile dressing. Waiting or deferring to a schedule raises CLABSI risk; a moist/soiled dressing is an infection gateway.</w:t>
      </w:r>
    </w:p>
    <w:p>
      <w:pPr>
        <w:spacing w:after="20" w:before="0"/>
      </w:pPr>
      <w:r>
        <w:rPr>
          <w:b/>
        </w:rPr>
        <w:t xml:space="preserve">🔍 Key Clues: </w:t>
      </w:r>
      <w:r>
        <w:t>Soiled CVC dressing → change immediately (dry, sterile).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Notifying is not needed for simple soiling. | c — Informing without action is wrong. | d — Changes are PRN for soiling, not every second day.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Soiled/moist dressing = infection risk — change it at once.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Soiled central-line dressing: immediate dry sterile change.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When should the fluids, blood and blood products be discarded after initiation to reduce the risk of CLABSI?</w:t>
      </w:r>
    </w:p>
    <w:p>
      <w:pPr>
        <w:spacing w:after="20" w:before="0"/>
      </w:pPr>
      <w:r>
        <w:rPr>
          <w:b w:val="0"/>
          <w:i w:val="0"/>
          <w:sz w:val="21"/>
        </w:rPr>
        <w:t>(a)  36 hours</w:t>
      </w:r>
    </w:p>
    <w:p>
      <w:pPr>
        <w:spacing w:after="20" w:before="0"/>
      </w:pPr>
      <w:r>
        <w:rPr>
          <w:b w:val="0"/>
          <w:i w:val="0"/>
          <w:sz w:val="21"/>
        </w:rPr>
        <w:t>(b)  48 hours</w:t>
      </w:r>
    </w:p>
    <w:p>
      <w:pPr>
        <w:spacing w:after="20" w:before="0"/>
      </w:pPr>
      <w:r>
        <w:rPr>
          <w:b w:val="0"/>
          <w:i w:val="0"/>
          <w:sz w:val="21"/>
        </w:rPr>
        <w:t>(c)  24 hours</w:t>
      </w:r>
    </w:p>
    <w:p>
      <w:pPr>
        <w:spacing w:after="20" w:before="0"/>
      </w:pPr>
      <w:r>
        <w:rPr>
          <w:b w:val="0"/>
          <w:i w:val="0"/>
          <w:sz w:val="21"/>
        </w:rPr>
        <w:t>(d)  72 hours</w:t>
      </w:r>
    </w:p>
    <w:p>
      <w:pPr>
        <w:spacing w:after="80" w:before="0"/>
      </w:pPr>
      <w:r>
        <w:rPr>
          <w:b/>
          <w:i w:val="0"/>
          <w:sz w:val="22"/>
        </w:rPr>
        <w:t>Answer: c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c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Per the paper key, fluids/blood products and their administration sets are discarded 24 HOURS after initiation to reduce CLABSI (central line-associated bloodstream infection) risk. Blood and lipid-containing products are changed even sooner (4-24 h); the keyed answer is 24 hours.</w:t>
      </w:r>
    </w:p>
    <w:p>
      <w:pPr>
        <w:spacing w:after="20" w:before="0"/>
      </w:pPr>
      <w:r>
        <w:rPr>
          <w:b/>
        </w:rPr>
        <w:t xml:space="preserve">🔍 Key Clues: </w:t>
      </w:r>
      <w:r>
        <w:t>IV fluids/administration sets: discard within 24 hours (blood sooner).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36 hours exceeds the limit. | b — 48 hours is too long. | d — 72 hours is too long.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Set-change intervals: plain fluids 24 h, blood 4 h/unit, lipids 24 h.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Fluids/blood sets: discard after 24 hours (CLABSI prevention).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What is the name of the scheme for providing quality mother and child care with guarantee for services with full safeguard?</w:t>
      </w:r>
    </w:p>
    <w:p>
      <w:pPr>
        <w:spacing w:after="20" w:before="0"/>
      </w:pPr>
      <w:r>
        <w:rPr>
          <w:b w:val="0"/>
          <w:i w:val="0"/>
          <w:sz w:val="21"/>
        </w:rPr>
        <w:t>(a)  Suman</w:t>
      </w:r>
    </w:p>
    <w:p>
      <w:pPr>
        <w:spacing w:after="20" w:before="0"/>
      </w:pPr>
      <w:r>
        <w:rPr>
          <w:b w:val="0"/>
          <w:i w:val="0"/>
          <w:sz w:val="21"/>
        </w:rPr>
        <w:t>(b)  LaQshya</w:t>
      </w:r>
    </w:p>
    <w:p>
      <w:pPr>
        <w:spacing w:after="20" w:before="0"/>
      </w:pPr>
      <w:r>
        <w:rPr>
          <w:b w:val="0"/>
          <w:i w:val="0"/>
          <w:sz w:val="21"/>
        </w:rPr>
        <w:t>(c)  PM-NVY</w:t>
      </w:r>
    </w:p>
    <w:p>
      <w:pPr>
        <w:spacing w:after="20" w:before="0"/>
      </w:pPr>
      <w:r>
        <w:rPr>
          <w:b w:val="0"/>
          <w:i w:val="0"/>
          <w:sz w:val="21"/>
        </w:rPr>
        <w:t>(d)  PMSMA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LAQSHTA (Labour room Quality Improvement Initiative) is the scheme for providing QUALITY MOTHER AND CHILD CARE with a guarantee of services and full safeguards in labour rooms and maternity OT — through certification, checklists and quality standards. SUMAN, PM-NVY and PMSMA are other maternal health programmes.</w:t>
      </w:r>
    </w:p>
    <w:p>
      <w:pPr>
        <w:spacing w:after="20" w:before="0"/>
      </w:pPr>
      <w:r>
        <w:rPr>
          <w:b/>
        </w:rPr>
        <w:t xml:space="preserve">🔍 Key Clues: </w:t>
      </w:r>
      <w:r>
        <w:t>Quality mother-child care guarantee = LaQshya (labour room quality initiative).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Mother-and-baby safety first — prevent complications before they occur and act promptly when they do.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SUMAN = Surakshit Matritva Aashwasan (free entitlements). | c — PM-NVY = Pradhan Mantri Surakshit Matritva Abhiyan (checkup days). | d — PMSMA = Pradhan Mantri Surakshit Matritva Abhiyan.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LaQshya = quality certification of labour rooms; PMSMA = fixed ANC checkup days.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LaQshya: quality mother-child care guarantee scheme.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