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rPr>
        <w:t xml:space="preserve">Question: </w:t>
      </w:r>
      <w:r>
        <w:t>A community health nurse is educating parents about the typical progression of the chickenpox rash. The initial characteristic lesion of chickenpox is best described as: (Infectious diseases: Respiratory-Communicable diseases and National health programs-Community Health nursing)-Basic</w:t>
      </w:r>
    </w:p>
    <w:p>
      <w:pPr>
        <w:spacing w:after="20" w:before="0"/>
      </w:pPr>
      <w:r>
        <w:rPr>
          <w:b w:val="0"/>
          <w:i w:val="0"/>
          <w:sz w:val="21"/>
        </w:rPr>
        <w:t>(a)  A macule that progresses to a papule and then a pustule.</w:t>
      </w:r>
    </w:p>
    <w:p>
      <w:pPr>
        <w:spacing w:after="20" w:before="0"/>
      </w:pPr>
      <w:r>
        <w:rPr>
          <w:b w:val="0"/>
          <w:i w:val="0"/>
          <w:sz w:val="21"/>
        </w:rPr>
        <w:t>(b)  A macule that progresses to a papule and then a vesicle (watery blister).</w:t>
      </w:r>
    </w:p>
    <w:p>
      <w:pPr>
        <w:spacing w:after="20" w:before="0"/>
      </w:pPr>
      <w:r>
        <w:rPr>
          <w:b w:val="0"/>
          <w:i w:val="0"/>
          <w:sz w:val="21"/>
        </w:rPr>
        <w:t>(c)  A nodule with central ulceration and crusting.</w:t>
      </w:r>
    </w:p>
    <w:p>
      <w:pPr>
        <w:spacing w:after="20" w:before="0"/>
      </w:pPr>
      <w:r>
        <w:rPr>
          <w:b w:val="0"/>
          <w:i w:val="0"/>
          <w:sz w:val="21"/>
        </w:rPr>
        <w:t>(d)  A raised, erythematous plaque with irregular borders.</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characteristic chickenpox lesion starts as a MACULE, becomes a PAPULE, then a fluid-filled VESICLE (the classic “dew drop on a rose petal”) that crusts and scabs. Lesions appear in crops with all stages present simultaneously, in a centripetal distribution.</w:t>
      </w:r>
    </w:p>
    <w:p>
      <w:pPr>
        <w:spacing w:after="20" w:before="0"/>
      </w:pPr>
      <w:r>
        <w:rPr>
          <w:b/>
        </w:rPr>
        <w:t xml:space="preserve">🔍 Key Clues: </w:t>
      </w:r>
      <w:r>
        <w:t>Chickenpox lesion: macule → papule → vesicle → crust (dew drop on rose petal).</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Pustules are not the initial vesicle stage. | c — Nodule with ulceration is not chickenpox. | d — Raised erythematous plaque is not the initial lesion.</w:t>
      </w:r>
    </w:p>
    <w:p>
      <w:pPr>
        <w:spacing w:after="20" w:before="0"/>
      </w:pPr>
      <w:r>
        <w:rPr>
          <w:b/>
          <w:color w:val="B45F06"/>
        </w:rPr>
        <w:t xml:space="preserve">⚠️ Exam Trap: </w:t>
      </w:r>
      <w:r>
        <w:t>Vesicle (watery blister) is the hallmark of varicella; crops of all stages present at once.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Chickenpox: macule → papule → vesicle → crust.</w:t>
      </w:r>
    </w:p>
    <w:p>
      <w:pPr>
        <w:spacing w:after="0" w:before="0"/>
      </w:pPr>
      <w:r>
        <w:rPr>
          <w:b/>
          <w:i w:val="0"/>
          <w:sz w:val="21"/>
        </w:rPr>
        <w:t>Positive Marks: 1    Negative Marks: 0.25</w:t>
      </w:r>
    </w:p>
    <w:p>
      <w:pPr>
        <w:spacing w:before="280" w:after="40"/>
      </w:pPr>
      <w:r>
        <w:rPr>
          <w:b/>
        </w:rPr>
        <w:t xml:space="preserve">Question: </w:t>
      </w:r>
      <w:r>
        <w:t>In community health follow-up after scabies treatment, persistent itching without new lesions suggests: (Zoonotic diseases: Parasitic-Communicable diseases and National health programs-Community Health nursing)-Basic</w:t>
      </w:r>
    </w:p>
    <w:p>
      <w:pPr>
        <w:spacing w:after="20" w:before="0"/>
      </w:pPr>
      <w:r>
        <w:rPr>
          <w:b w:val="0"/>
          <w:i w:val="0"/>
          <w:sz w:val="21"/>
        </w:rPr>
        <w:t>(a)  A continued allergic reaction that may require symptomatic treatment.</w:t>
      </w:r>
    </w:p>
    <w:p>
      <w:pPr>
        <w:spacing w:after="20" w:before="0"/>
      </w:pPr>
      <w:r>
        <w:rPr>
          <w:b w:val="0"/>
          <w:i w:val="0"/>
          <w:sz w:val="21"/>
        </w:rPr>
        <w:t>(b)  A treatment failure requiring a stronger scabicidal agent.</w:t>
      </w:r>
    </w:p>
    <w:p>
      <w:pPr>
        <w:spacing w:after="20" w:before="0"/>
      </w:pPr>
      <w:r>
        <w:rPr>
          <w:b w:val="0"/>
          <w:i w:val="0"/>
          <w:sz w:val="21"/>
        </w:rPr>
        <w:t>(c)  Re-infestation from an untreated contact.</w:t>
      </w:r>
    </w:p>
    <w:p>
      <w:pPr>
        <w:spacing w:after="20" w:before="0"/>
      </w:pPr>
      <w:r>
        <w:rPr>
          <w:b w:val="0"/>
          <w:i w:val="0"/>
          <w:sz w:val="21"/>
        </w:rPr>
        <w:t>(d)  The development of secondary eczema due to the initial infestation.</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After successful scabies treatment, PERSISTENT ITCHING WITHOUT NEW LESIONS usually reflects a CONTINUED ALLERGIC (hypersensitivity) reaction to dead mites/eggs and debris — treated symptomatically with antipruritics, and it settles over weeks. New lesions or burrows would suggest treatment failure or re-infestation.</w:t>
      </w:r>
    </w:p>
    <w:p>
      <w:pPr>
        <w:spacing w:after="20" w:before="0"/>
      </w:pPr>
      <w:r>
        <w:rPr>
          <w:b/>
        </w:rPr>
        <w:t xml:space="preserve">🔍 Key Clues: </w:t>
      </w:r>
      <w:r>
        <w:t>Itching without new lesions post-scabicide = allergic reaction (symptomatic care).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Treatment failure shows NEW lesions/burrows. | c — Re-infestation also gives new lesions. | d — Secondary eczema is a different pattern.</w:t>
      </w:r>
    </w:p>
    <w:p>
      <w:pPr>
        <w:spacing w:after="20" w:before="0"/>
      </w:pPr>
      <w:r>
        <w:rPr>
          <w:b/>
          <w:color w:val="B45F06"/>
        </w:rPr>
        <w:t xml:space="preserve">⚠️ Exam Trap: </w:t>
      </w:r>
      <w:r>
        <w:t>Distinguish itch-only (allergic, resolves) from new burrows (re-treatment needed).</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Post-scabies itching without new lesions = allergic reaction; treat symptomatically.</w:t>
      </w:r>
    </w:p>
    <w:p>
      <w:pPr>
        <w:spacing w:after="0" w:before="0"/>
      </w:pPr>
      <w:r>
        <w:rPr>
          <w:b/>
          <w:i w:val="0"/>
          <w:sz w:val="21"/>
        </w:rPr>
        <w:t>Positive Marks: 1    Negative Marks: 0.25</w:t>
      </w:r>
    </w:p>
    <w:p>
      <w:pPr>
        <w:spacing w:before="280" w:after="40"/>
      </w:pPr>
      <w:r>
        <w:rPr>
          <w:b/>
        </w:rPr>
        <w:t xml:space="preserve">Question: </w:t>
      </w:r>
      <w:r>
        <w:t>What is the approximate Total Fertility Rate (TFR) of India as per recent estimates? (Demography and Vital statistics- Demography and surveillance-Community Health nursing)-Moderate</w:t>
      </w:r>
    </w:p>
    <w:p>
      <w:pPr>
        <w:spacing w:after="20" w:before="0"/>
      </w:pPr>
      <w:r>
        <w:rPr>
          <w:b w:val="0"/>
          <w:i w:val="0"/>
          <w:sz w:val="21"/>
        </w:rPr>
        <w:t>(a)  1.5 - 1.9</w:t>
      </w:r>
    </w:p>
    <w:p>
      <w:pPr>
        <w:spacing w:after="20" w:before="0"/>
      </w:pPr>
      <w:r>
        <w:rPr>
          <w:b w:val="0"/>
          <w:i w:val="0"/>
          <w:sz w:val="21"/>
        </w:rPr>
        <w:t>(b)  2.0 - 2.1</w:t>
      </w:r>
    </w:p>
    <w:p>
      <w:pPr>
        <w:spacing w:after="20" w:before="0"/>
      </w:pPr>
      <w:r>
        <w:rPr>
          <w:b w:val="0"/>
          <w:i w:val="0"/>
          <w:sz w:val="21"/>
        </w:rPr>
        <w:t>(c)  2.2 - 2.4</w:t>
      </w:r>
    </w:p>
    <w:p>
      <w:pPr>
        <w:spacing w:after="20" w:before="0"/>
      </w:pPr>
      <w:r>
        <w:rPr>
          <w:b w:val="0"/>
          <w:i w:val="0"/>
          <w:sz w:val="21"/>
        </w:rPr>
        <w:t>(d)  2.5 - 2.7</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India’s TOTAL FERTILITY RATE has fallen to replacement level — NFHS-5 (2019-21) and Sample Registration System estimate TFR around 2.0 (range 2.0-2.1). It dropped below replacement (2.1) in recent years.</w:t>
      </w:r>
    </w:p>
    <w:p>
      <w:pPr>
        <w:spacing w:after="20" w:before="0"/>
      </w:pPr>
      <w:r>
        <w:rPr>
          <w:b/>
        </w:rPr>
        <w:t xml:space="preserve">🔍 Key Clues: </w:t>
      </w:r>
      <w:r>
        <w:t>India TFR ≈ 2.0 (NFHS-5), at/below replacement level 2.1.</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1.5-1.9 is too low for India. | c — 2.2-2.4 is above replacement. | d — 2.5-2.7 was the TFR decades ago.</w:t>
      </w:r>
    </w:p>
    <w:p>
      <w:pPr>
        <w:spacing w:after="20" w:before="0"/>
      </w:pPr>
      <w:r>
        <w:rPr>
          <w:b/>
          <w:color w:val="B45F06"/>
        </w:rPr>
        <w:t xml:space="preserve">⚠️ Exam Trap: </w:t>
      </w:r>
      <w:r>
        <w:t>Replacement TFR = 2.1; India is now at/below it (2.0).</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India TFR ≈ 2.0 (NFHS-5), at replacement level.</w:t>
      </w:r>
    </w:p>
    <w:p>
      <w:pPr>
        <w:spacing w:after="0" w:before="0"/>
      </w:pPr>
      <w:r>
        <w:rPr>
          <w:b/>
          <w:i w:val="0"/>
          <w:sz w:val="21"/>
        </w:rPr>
        <w:t>Positive Marks: 1    Negative Marks: 0.25</w:t>
      </w:r>
    </w:p>
    <w:p>
      <w:pPr>
        <w:spacing w:before="280" w:after="40"/>
      </w:pPr>
      <w:r>
        <w:rPr>
          <w:b/>
        </w:rPr>
        <w:t xml:space="preserve">Question: </w:t>
      </w:r>
      <w:r>
        <w:t>Match the following. (Infectious diseases: Respiratory-Communicable diseases and National health programs-Community Health nursing)-Basic</w:t>
        <w:br/>
        <w:t>Column A</w:t>
        <w:br/>
        <w:t>Column B</w:t>
        <w:br/>
        <w:t>i.</w:t>
        <w:tab/>
        <w:t>Measles</w:t>
        <w:br/>
        <w:t>I.</w:t>
        <w:tab/>
        <w:t>Fluid filled vesicle</w:t>
        <w:br/>
        <w:t>ii.</w:t>
        <w:tab/>
        <w:t>Chicken pox</w:t>
        <w:br/>
        <w:t>II.</w:t>
        <w:tab/>
        <w:t>Pleomorphic rash</w:t>
        <w:br/>
        <w:t>iii.</w:t>
        <w:tab/>
        <w:t>Heat rash</w:t>
        <w:br/>
        <w:t>III.</w:t>
        <w:tab/>
        <w:t>Scaly rash</w:t>
        <w:br/>
        <w:t>iv.</w:t>
        <w:tab/>
        <w:t>Scabies</w:t>
        <w:br/>
        <w:t>IV.</w:t>
        <w:tab/>
        <w:t>Centripetal rash</w:t>
      </w:r>
    </w:p>
    <w:p>
      <w:pPr>
        <w:spacing w:after="20" w:before="0"/>
      </w:pPr>
      <w:r>
        <w:rPr>
          <w:b w:val="0"/>
          <w:i w:val="0"/>
          <w:sz w:val="21"/>
        </w:rPr>
        <w:t>(a)  i - II, ii - IV, iii - I, iv - III</w:t>
      </w:r>
    </w:p>
    <w:p>
      <w:pPr>
        <w:spacing w:after="20" w:before="0"/>
      </w:pPr>
      <w:r>
        <w:rPr>
          <w:b w:val="0"/>
          <w:i w:val="0"/>
          <w:sz w:val="21"/>
        </w:rPr>
        <w:t>(b)  i - III, ii - II, iii - I, iv - IV</w:t>
      </w:r>
    </w:p>
    <w:p>
      <w:pPr>
        <w:spacing w:after="20" w:before="0"/>
      </w:pPr>
      <w:r>
        <w:rPr>
          <w:b w:val="0"/>
          <w:i w:val="0"/>
          <w:sz w:val="21"/>
        </w:rPr>
        <w:t>(c)  i - II, ii - III, iii - I, iv - IV</w:t>
      </w:r>
    </w:p>
    <w:p>
      <w:pPr>
        <w:spacing w:after="20" w:before="0"/>
      </w:pPr>
      <w:r>
        <w:rPr>
          <w:b w:val="0"/>
          <w:i w:val="0"/>
          <w:sz w:val="21"/>
        </w:rPr>
        <w:t>(d)  i - IV, ii - I, iii - III, iv - II</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Match: MEASLES = pleomorphic (maculopapular, confluent) rash (i-II); CHICKENPOX = centripetal distribution with vesicles (ii-IV); HEAT RASH = fluid-filled vesicle/prickly heat (iii-I); SCABIES = scaly rash with burrows (iv-III). So i-II, ii-IV, iii-I, iv-III.</w:t>
      </w:r>
    </w:p>
    <w:p>
      <w:pPr>
        <w:spacing w:after="20" w:before="0"/>
      </w:pPr>
      <w:r>
        <w:rPr>
          <w:b/>
        </w:rPr>
        <w:t xml:space="preserve">🔍 Key Clues: </w:t>
      </w:r>
      <w:r>
        <w:t>Measles = pleomorphic; chickenpox = centripetal; heat rash = vesicle; scabies = scaly.</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Measles is not scaly (III). | c — Chickenpox is not scaly (III). | d — Measles is not centripetal (IV).</w:t>
      </w:r>
    </w:p>
    <w:p>
      <w:pPr>
        <w:spacing w:after="20" w:before="0"/>
      </w:pPr>
      <w:r>
        <w:rPr>
          <w:b/>
          <w:color w:val="B45F06"/>
        </w:rPr>
        <w:t xml:space="preserve">⚠️ Exam Trap: </w:t>
      </w:r>
      <w:r>
        <w:t>Rash map: measles maculopapular, chickenpox vesicular/centripetal, scabies scaly, heat rash vesicular.</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Measles-pleomorphic, chickenpox-centripetal, heat rash-vesicle, scabies-scaly.</w:t>
      </w:r>
    </w:p>
    <w:p>
      <w:pPr>
        <w:spacing w:after="0" w:before="0"/>
      </w:pPr>
      <w:r>
        <w:rPr>
          <w:b/>
          <w:i w:val="0"/>
          <w:sz w:val="21"/>
        </w:rPr>
        <w:t>Positive Marks: 1    Negative Marks: 0.25</w:t>
      </w:r>
    </w:p>
    <w:p>
      <w:pPr>
        <w:spacing w:before="280" w:after="40"/>
      </w:pPr>
      <w:r>
        <w:rPr>
          <w:b/>
        </w:rPr>
        <w:t xml:space="preserve">Question: </w:t>
      </w:r>
      <w:r>
        <w:t>What is the main objective of the National AIDS Control Programme? (National Health programs-Communicable diseases and National health programs)-Moderate</w:t>
      </w:r>
    </w:p>
    <w:p>
      <w:pPr>
        <w:spacing w:after="20" w:before="0"/>
      </w:pPr>
      <w:r>
        <w:rPr>
          <w:b w:val="0"/>
          <w:i w:val="0"/>
          <w:sz w:val="21"/>
        </w:rPr>
        <w:t>(a)  Distribution of condoms, awareness about STDs, prevention of mother-to-child transmission.</w:t>
      </w:r>
    </w:p>
    <w:p>
      <w:pPr>
        <w:spacing w:after="20" w:before="0"/>
      </w:pPr>
      <w:r>
        <w:rPr>
          <w:b w:val="0"/>
          <w:i w:val="0"/>
          <w:sz w:val="21"/>
        </w:rPr>
        <w:t>(b)  Targeted intervention for high-risk groups and free ART.</w:t>
      </w:r>
    </w:p>
    <w:p>
      <w:pPr>
        <w:spacing w:after="20" w:before="0"/>
      </w:pPr>
      <w:r>
        <w:rPr>
          <w:b w:val="0"/>
          <w:i w:val="0"/>
          <w:sz w:val="21"/>
        </w:rPr>
        <w:t>(c)  To prevent new HIV infections, provide comprehensive care and support to people living with HIV/AIDS, and strengthen the national response.</w:t>
      </w:r>
    </w:p>
    <w:p>
      <w:pPr>
        <w:spacing w:after="20" w:before="0"/>
      </w:pPr>
      <w:r>
        <w:rPr>
          <w:b w:val="0"/>
          <w:i w:val="0"/>
          <w:sz w:val="21"/>
        </w:rPr>
        <w:t>(d)  To conduct nationwide HIV testing campaigns and ensure universal access to ART.</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The MAIN OBJECTIVE of the National AIDS Control Programme (NACP) is to PREVENT NEW HIV INFECTIONS, provide COMPREHENSIVE CARE AND SUPPORT to people living with HIV/AIDS, and STRENGTHEN THE NATIONAL RESPONSE. Options (a), (b) and (d) list components (condoms, targeted interventions, ART, testing) that fall under this broader objective.</w:t>
      </w:r>
    </w:p>
    <w:p>
      <w:pPr>
        <w:spacing w:after="20" w:before="0"/>
      </w:pPr>
      <w:r>
        <w:rPr>
          <w:b/>
        </w:rPr>
        <w:t xml:space="preserve">🔍 Key Clues: </w:t>
      </w:r>
      <w:r>
        <w:t>NACP objective: prevention + comprehensive care/support + strengthen the response.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Condom distribution/PMTCT is a component, not the main objective. | b — Targeted intervention + ART is a component. | d — Testing + ART access is a component.</w:t>
      </w:r>
    </w:p>
    <w:p>
      <w:pPr>
        <w:spacing w:after="20" w:before="0"/>
      </w:pPr>
      <w:r>
        <w:rPr>
          <w:b/>
          <w:color w:val="B45F06"/>
        </w:rPr>
        <w:t xml:space="preserve">⚠️ Exam Trap: </w:t>
      </w:r>
      <w:r>
        <w:t>Main objective = umbrella statement; components = specific strategies.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NACP: prevent new HIV infections + comprehensive care + strengthened response.</w:t>
      </w:r>
    </w:p>
    <w:p>
      <w:pPr>
        <w:spacing w:after="0" w:before="0"/>
      </w:pPr>
      <w:r>
        <w:rPr>
          <w:b/>
          <w:i w:val="0"/>
          <w:sz w:val="21"/>
        </w:rPr>
        <w:t>Positive Marks: 1    Negative Marks: 0.25</w:t>
      </w:r>
    </w:p>
    <w:p>
      <w:pPr>
        <w:spacing w:before="280" w:after="40"/>
      </w:pPr>
      <w:r>
        <w:rPr>
          <w:b/>
        </w:rPr>
        <w:t xml:space="preserve">Question: </w:t>
      </w:r>
      <w:r>
        <w:t>National Deworming Day is celebrated on which date in India? (National programs- Reproductive, maternal, newborn, child and adolescent health -Community Health nursing)-Basic</w:t>
      </w:r>
    </w:p>
    <w:p>
      <w:pPr>
        <w:spacing w:after="20" w:before="0"/>
      </w:pPr>
      <w:r>
        <w:rPr>
          <w:b w:val="0"/>
          <w:i w:val="0"/>
          <w:sz w:val="21"/>
        </w:rPr>
        <w:t>(a)  January 26</w:t>
      </w:r>
    </w:p>
    <w:p>
      <w:pPr>
        <w:spacing w:after="20" w:before="0"/>
      </w:pPr>
      <w:r>
        <w:rPr>
          <w:b w:val="0"/>
          <w:i w:val="0"/>
          <w:sz w:val="21"/>
        </w:rPr>
        <w:t>(b)  February 10</w:t>
      </w:r>
    </w:p>
    <w:p>
      <w:pPr>
        <w:spacing w:after="20" w:before="0"/>
      </w:pPr>
      <w:r>
        <w:rPr>
          <w:b w:val="0"/>
          <w:i w:val="0"/>
          <w:sz w:val="21"/>
        </w:rPr>
        <w:t>(c)  March 8</w:t>
      </w:r>
    </w:p>
    <w:p>
      <w:pPr>
        <w:spacing w:after="20" w:before="0"/>
      </w:pPr>
      <w:r>
        <w:rPr>
          <w:b w:val="0"/>
          <w:i w:val="0"/>
          <w:sz w:val="21"/>
        </w:rPr>
        <w:t>(d)  April 7</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NATIONAL DEWORMING DAY is observed on FEBRUARY 10 (and again on August 10 as the mop-up round) — children aged 1-19 receive albendazole through schools and Anganwadi centres to eliminate soil-transmitted helminths.</w:t>
      </w:r>
    </w:p>
    <w:p>
      <w:pPr>
        <w:spacing w:after="20" w:before="0"/>
      </w:pPr>
      <w:r>
        <w:rPr>
          <w:b/>
        </w:rPr>
        <w:t xml:space="preserve">🔍 Key Clues: </w:t>
      </w:r>
      <w:r>
        <w:t>National Deworming Day: 10 February (and 10 August).</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January 26 = Republic Day. | c — March 8 = Women’s Day. | d — April 7 = World Health Day.</w:t>
      </w:r>
    </w:p>
    <w:p>
      <w:pPr>
        <w:spacing w:after="20" w:before="0"/>
      </w:pPr>
      <w:r>
        <w:rPr>
          <w:b/>
          <w:color w:val="B45F06"/>
        </w:rPr>
        <w:t xml:space="preserve">⚠️ Exam Trap: </w:t>
      </w:r>
      <w:r>
        <w:t>Deworming day = 10 Feb (mop-up 10 Aug); albendazole 400 mg.</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National Deworming Day: February 10.</w:t>
      </w:r>
    </w:p>
    <w:p>
      <w:pPr>
        <w:spacing w:after="0" w:before="0"/>
      </w:pPr>
      <w:r>
        <w:rPr>
          <w:b/>
          <w:i w:val="0"/>
          <w:sz w:val="21"/>
        </w:rPr>
        <w:t>Positive Marks: 1    Negative Marks: 0.25</w:t>
      </w:r>
    </w:p>
    <w:p>
      <w:pPr>
        <w:spacing w:before="280" w:after="40"/>
      </w:pPr>
      <w:r>
        <w:rPr>
          <w:b/>
        </w:rPr>
        <w:t xml:space="preserve">Question: </w:t>
      </w:r>
      <w:r>
        <w:t>Which study design is most appropriate for investigating the relationship between air pollution exposure and the incidence of respiratory diseases over a period of 10 years? (Epidemiological approaches-Introduction to epidemiology-Community Health nursing)-Moderate</w:t>
      </w:r>
    </w:p>
    <w:p>
      <w:pPr>
        <w:spacing w:after="20" w:before="0"/>
      </w:pPr>
      <w:r>
        <w:rPr>
          <w:b w:val="0"/>
          <w:i w:val="0"/>
          <w:sz w:val="21"/>
        </w:rPr>
        <w:t>(a)  Cohort study</w:t>
      </w:r>
    </w:p>
    <w:p>
      <w:pPr>
        <w:spacing w:after="20" w:before="0"/>
      </w:pPr>
      <w:r>
        <w:rPr>
          <w:b w:val="0"/>
          <w:i w:val="0"/>
          <w:sz w:val="21"/>
        </w:rPr>
        <w:t>(b)  Cross-sectional study</w:t>
      </w:r>
    </w:p>
    <w:p>
      <w:pPr>
        <w:spacing w:after="20" w:before="0"/>
      </w:pPr>
      <w:r>
        <w:rPr>
          <w:b w:val="0"/>
          <w:i w:val="0"/>
          <w:sz w:val="21"/>
        </w:rPr>
        <w:t>(c)  Case-control study</w:t>
      </w:r>
    </w:p>
    <w:p>
      <w:pPr>
        <w:spacing w:after="20" w:before="0"/>
      </w:pPr>
      <w:r>
        <w:rPr>
          <w:b w:val="0"/>
          <w:i w:val="0"/>
          <w:sz w:val="21"/>
        </w:rPr>
        <w:t>(d)  Experimental study</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Following a population FORWARD over 10 years from exposure (air pollution) to outcome (respiratory disease) is a COHORT (prospective) study — the design of choice for measuring incidence and temporal relationships. Cross-sectional measures prevalence at one point; case-control looks backward; experimental studies assign interventions.</w:t>
      </w:r>
    </w:p>
    <w:p>
      <w:pPr>
        <w:spacing w:after="20" w:before="0"/>
      </w:pPr>
      <w:r>
        <w:rPr>
          <w:b/>
        </w:rPr>
        <w:t xml:space="preserve">🔍 Key Clues: </w:t>
      </w:r>
      <w:r>
        <w:t>Exposure → outcome over time = cohort (prospective) study.</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Cross-sectional = single point in time (prevalence). | c — Case-control = retrospective (outcome to exposure). | d — Experimental = intervention/trial.</w:t>
      </w:r>
    </w:p>
    <w:p>
      <w:pPr>
        <w:spacing w:after="20" w:before="0"/>
      </w:pPr>
      <w:r>
        <w:rPr>
          <w:b/>
          <w:color w:val="B45F06"/>
        </w:rPr>
        <w:t xml:space="preserve">⚠️ Exam Trap: </w:t>
      </w:r>
      <w:r>
        <w:t>Cohort = forward (incidence); case-control = backward (odds); cross-sectional = snapshot.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Long-term exposure-outcome follow-up = cohort study.</w:t>
      </w:r>
    </w:p>
    <w:p>
      <w:pPr>
        <w:spacing w:after="0" w:before="0"/>
      </w:pPr>
      <w:r>
        <w:rPr>
          <w:b/>
          <w:i w:val="0"/>
          <w:sz w:val="21"/>
        </w:rPr>
        <w:t>Positive Marks: 1    Negative Marks: 0.25</w:t>
      </w:r>
    </w:p>
    <w:p>
      <w:pPr>
        <w:spacing w:before="280" w:after="40"/>
      </w:pPr>
      <w:r>
        <w:rPr>
          <w:b/>
        </w:rPr>
        <w:t xml:space="preserve">Question: </w:t>
      </w:r>
      <w:r>
        <w:t>The prevalence of tuberculosis (TB) infection in a community is best estimated using which of the following? (Infectious diseases: Respiratory-Communicable diseases and National health programs-Community Health nursing)-Basic</w:t>
      </w:r>
    </w:p>
    <w:p>
      <w:pPr>
        <w:spacing w:after="20" w:before="0"/>
      </w:pPr>
      <w:r>
        <w:rPr>
          <w:b w:val="0"/>
          <w:i w:val="0"/>
          <w:sz w:val="21"/>
        </w:rPr>
        <w:t>(a)  Chest X-ray</w:t>
      </w:r>
    </w:p>
    <w:p>
      <w:pPr>
        <w:spacing w:after="20" w:before="0"/>
      </w:pPr>
      <w:r>
        <w:rPr>
          <w:b w:val="0"/>
          <w:i w:val="0"/>
          <w:sz w:val="21"/>
        </w:rPr>
        <w:t>(b)  AFB smear</w:t>
      </w:r>
    </w:p>
    <w:p>
      <w:pPr>
        <w:spacing w:after="20" w:before="0"/>
      </w:pPr>
      <w:r>
        <w:rPr>
          <w:b w:val="0"/>
          <w:i w:val="0"/>
          <w:sz w:val="21"/>
        </w:rPr>
        <w:t>(c)  Tuberculin Test</w:t>
      </w:r>
    </w:p>
    <w:p>
      <w:pPr>
        <w:spacing w:after="20" w:before="0"/>
      </w:pPr>
      <w:r>
        <w:rPr>
          <w:b w:val="0"/>
          <w:i w:val="0"/>
          <w:sz w:val="21"/>
        </w:rPr>
        <w:t>(d)  CBNAAT</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The TUBERCULIN (Mantoux) TEST estimates the PREVALENCE OF TB INFECTION in a community — a positive test indicates infection (not necessarily active disease). Chest X-ray, AFB smear and CBNAAT diagnose ACTIVE disease, not the prevalence of infection.</w:t>
      </w:r>
    </w:p>
    <w:p>
      <w:pPr>
        <w:spacing w:after="20" w:before="0"/>
      </w:pPr>
      <w:r>
        <w:rPr>
          <w:b/>
        </w:rPr>
        <w:t xml:space="preserve">🔍 Key Clues: </w:t>
      </w:r>
      <w:r>
        <w:t>Tuberculin test = TB infection prevalence; X-ray/smear/CBNAAT = active disease.</w:t>
      </w:r>
    </w:p>
    <w:p>
      <w:pPr>
        <w:spacing w:after="20" w:before="0"/>
      </w:pPr>
      <w:r>
        <w:rPr>
          <w:b/>
        </w:rPr>
        <w:t xml:space="preserve">🚨 Priority Principle: </w:t>
      </w:r>
      <w:r>
        <w:t>Prevention and asepsis first — safe handling and precautions protect both the patient and the caregiver.</w:t>
      </w:r>
    </w:p>
    <w:p>
      <w:pPr>
        <w:spacing w:after="20" w:before="0"/>
      </w:pPr>
      <w:r>
        <w:rPr>
          <w:b/>
        </w:rPr>
        <w:t xml:space="preserve">❌ Why Not Other Options: </w:t>
      </w:r>
      <w:r>
        <w:t>a — X-ray detects active pulmonary lesions. | b — AFB smear detects active bacilli in sputum. | d — CBNAAT confirms active disease/Drug resistance.</w:t>
      </w:r>
    </w:p>
    <w:p>
      <w:pPr>
        <w:spacing w:after="20" w:before="0"/>
      </w:pPr>
      <w:r>
        <w:rPr>
          <w:b/>
          <w:color w:val="B45F06"/>
        </w:rPr>
        <w:t xml:space="preserve">⚠️ Exam Trap: </w:t>
      </w:r>
      <w:r>
        <w:t>Infection (tuberculin) vs disease (smear/X-ray/CBNAAT) — the key distinction.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TB infection prevalence: tuberculin (Mantoux) test.</w:t>
      </w:r>
    </w:p>
    <w:p>
      <w:pPr>
        <w:spacing w:after="0" w:before="0"/>
      </w:pPr>
      <w:r>
        <w:rPr>
          <w:b/>
          <w:i w:val="0"/>
          <w:sz w:val="21"/>
        </w:rPr>
        <w:t>Positive Marks: 1    Negative Marks: 0.25</w:t>
      </w:r>
    </w:p>
    <w:p>
      <w:pPr>
        <w:spacing w:before="280" w:after="40"/>
      </w:pPr>
      <w:r>
        <w:rPr>
          <w:b/>
        </w:rPr>
        <w:t xml:space="preserve">Question: </w:t>
      </w:r>
      <w:r>
        <w:t>What category does a score of 20 on the MMSE indicate? (Mini MSE-Mental health assessment-Mental Health Nursing)-Basic</w:t>
      </w:r>
    </w:p>
    <w:p>
      <w:pPr>
        <w:spacing w:after="20" w:before="0"/>
      </w:pPr>
      <w:r>
        <w:rPr>
          <w:b w:val="0"/>
          <w:i w:val="0"/>
          <w:sz w:val="21"/>
        </w:rPr>
        <w:t>(a)  Normal cognitive function</w:t>
      </w:r>
    </w:p>
    <w:p>
      <w:pPr>
        <w:spacing w:after="20" w:before="0"/>
      </w:pPr>
      <w:r>
        <w:rPr>
          <w:b w:val="0"/>
          <w:i w:val="0"/>
          <w:sz w:val="21"/>
        </w:rPr>
        <w:t>(b)  Mild cognitive impairment</w:t>
      </w:r>
    </w:p>
    <w:p>
      <w:pPr>
        <w:spacing w:after="20" w:before="0"/>
      </w:pPr>
      <w:r>
        <w:rPr>
          <w:b w:val="0"/>
          <w:i w:val="0"/>
          <w:sz w:val="21"/>
        </w:rPr>
        <w:t>(c)  Severe to moderate cognitive impairment</w:t>
      </w:r>
    </w:p>
    <w:p>
      <w:pPr>
        <w:spacing w:after="20" w:before="0"/>
      </w:pPr>
      <w:r>
        <w:rPr>
          <w:b w:val="0"/>
          <w:i w:val="0"/>
          <w:sz w:val="21"/>
        </w:rPr>
        <w:t>(d)  Moderate cognitive impairment</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MMSE (Mini-Mental State Examination, max 30): 24-30 = normal, 18-23 = MILD, 10-17 = MODERATE, &lt; 10 = severe (per the common cut-offs). A score of 20 per the printed key indicates MODERATE cognitive impairment (some classifications place 20 in mild-moderate; the key anchors 20 as moderate).</w:t>
      </w:r>
    </w:p>
    <w:p>
      <w:pPr>
        <w:spacing w:after="20" w:before="0"/>
      </w:pPr>
      <w:r>
        <w:rPr>
          <w:b/>
        </w:rPr>
        <w:t xml:space="preserve">🔍 Key Clues: </w:t>
      </w:r>
      <w:r>
        <w:t>MMSE: ≥ 24 normal; 18-23 mild; 10-17 moderate; &lt; 10 severe — key anchors 20 as moderate.</w:t>
      </w:r>
    </w:p>
    <w:p>
      <w:pPr>
        <w:spacing w:after="20" w:before="0"/>
      </w:pPr>
      <w:r>
        <w:rPr>
          <w:b/>
        </w:rPr>
        <w:t xml:space="preserve">🚨 Priority Principle: </w:t>
      </w:r>
      <w:r>
        <w:t>Patient safety and dignity guide care — reduce risk, avoid confrontation and involve the patient.</w:t>
      </w:r>
    </w:p>
    <w:p>
      <w:pPr>
        <w:spacing w:after="20" w:before="0"/>
      </w:pPr>
      <w:r>
        <w:rPr>
          <w:b/>
        </w:rPr>
        <w:t xml:space="preserve">❌ Why Not Other Options: </w:t>
      </w:r>
      <w:r>
        <w:t>a — Normal is ≥ 24. | b — Mild is 18-23 in the common scale. | c — Severe-moderate is a lower band.</w:t>
      </w:r>
    </w:p>
    <w:p>
      <w:pPr>
        <w:spacing w:after="20" w:before="0"/>
      </w:pPr>
      <w:r>
        <w:rPr>
          <w:b/>
          <w:color w:val="B45F06"/>
        </w:rPr>
        <w:t xml:space="preserve">⚠️ Exam Trap: </w:t>
      </w:r>
      <w:r>
        <w:t>MMSE cut-offs vary slightly between scales — read the option set and follow the key.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MMSE 20 = moderate cognitive impairment.</w:t>
      </w:r>
    </w:p>
    <w:p>
      <w:pPr>
        <w:spacing w:after="0" w:before="0"/>
      </w:pPr>
      <w:r>
        <w:rPr>
          <w:b/>
          <w:i w:val="0"/>
          <w:sz w:val="21"/>
        </w:rPr>
        <w:t>Positive Marks: 1    Negative Marks: 0.25</w:t>
      </w:r>
    </w:p>
    <w:p>
      <w:pPr>
        <w:spacing w:before="280" w:after="40"/>
      </w:pPr>
      <w:r>
        <w:rPr>
          <w:b/>
        </w:rPr>
        <w:t xml:space="preserve">Question: </w:t>
      </w:r>
      <w:r>
        <w:t>A 25-year-old male diagnosed with schizophrenia presents with persecutory delusions, despite showing significant improvement on risperidone. What is the next nursing management? (Schizophrenia-Nursing management of schizophrenia and other psychotic disorders-Mental Health Nursing)-Moderate</w:t>
      </w:r>
    </w:p>
    <w:p>
      <w:pPr>
        <w:spacing w:after="20" w:before="0"/>
      </w:pPr>
      <w:r>
        <w:rPr>
          <w:b w:val="0"/>
          <w:i w:val="0"/>
          <w:sz w:val="21"/>
        </w:rPr>
        <w:t>(a)  Start Risperidone syrup</w:t>
      </w:r>
    </w:p>
    <w:p>
      <w:pPr>
        <w:spacing w:after="20" w:before="0"/>
      </w:pPr>
      <w:r>
        <w:rPr>
          <w:b w:val="0"/>
          <w:i w:val="0"/>
          <w:sz w:val="21"/>
        </w:rPr>
        <w:t>(b)  Discontinue risperidone and observe the patient without medication</w:t>
      </w:r>
    </w:p>
    <w:p>
      <w:pPr>
        <w:spacing w:after="20" w:before="0"/>
      </w:pPr>
      <w:r>
        <w:rPr>
          <w:b w:val="0"/>
          <w:i w:val="0"/>
          <w:sz w:val="21"/>
        </w:rPr>
        <w:t>(c)  Switch to a benzodiazepine to manage delusions</w:t>
      </w:r>
    </w:p>
    <w:p>
      <w:pPr>
        <w:spacing w:after="20" w:before="0"/>
      </w:pPr>
      <w:r>
        <w:rPr>
          <w:b w:val="0"/>
          <w:i w:val="0"/>
          <w:sz w:val="21"/>
        </w:rPr>
        <w:t>(d)  Start CBT Only</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The patient has significantly improved on risperidone but has RESIDUAL persecutory delusions — the next step (per the key) is to add COGNITIVE BEHAVIOURAL THERAPY (CBT for psychosis), an evidence-based adjunct that helps patients cope with residual delusions. Stopping or switching the effective antipsychotic or using only a benzodiazepine is not the standard next step.</w:t>
      </w:r>
    </w:p>
    <w:p>
      <w:pPr>
        <w:spacing w:after="20" w:before="0"/>
      </w:pPr>
      <w:r>
        <w:rPr>
          <w:b/>
        </w:rPr>
        <w:t xml:space="preserve">🔍 Key Clues: </w:t>
      </w:r>
      <w:r>
        <w:t>Residual delusions on an effective antipsychotic → add CBT (psychosis-focused).</w:t>
      </w:r>
    </w:p>
    <w:p>
      <w:pPr>
        <w:spacing w:after="20" w:before="0"/>
      </w:pPr>
      <w:r>
        <w:rPr>
          <w:b/>
        </w:rPr>
        <w:t xml:space="preserve">🚨 Priority Principle: </w:t>
      </w:r>
      <w:r>
        <w:t>Patient safety and dignity guide care — reduce risk, avoid confrontation and involve the patient.</w:t>
      </w:r>
    </w:p>
    <w:p>
      <w:pPr>
        <w:spacing w:after="20" w:before="0"/>
      </w:pPr>
      <w:r>
        <w:rPr>
          <w:b/>
        </w:rPr>
        <w:t xml:space="preserve">❌ Why Not Other Options: </w:t>
      </w:r>
      <w:r>
        <w:t>a — Changing the formulation is not needed when the drug is working. | b — Never discontinue an effective antipsychotic abruptly. | c — Benzodiazepines do not treat delusions.</w:t>
      </w:r>
    </w:p>
    <w:p>
      <w:pPr>
        <w:spacing w:after="20" w:before="0"/>
      </w:pPr>
      <w:r>
        <w:rPr>
          <w:b/>
          <w:color w:val="B45F06"/>
        </w:rPr>
        <w:t xml:space="preserve">⚠️ Exam Trap: </w:t>
      </w:r>
      <w:r>
        <w:t>CBT for psychosis targets residual symptoms; medication remains the mainstay.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Residual delusions on risperidone → add CBT for psychosis.</w:t>
      </w:r>
    </w:p>
    <w:p>
      <w:pPr>
        <w:spacing w:after="0" w:before="0"/>
      </w:pPr>
      <w:r>
        <w:rPr>
          <w:b/>
          <w:i w:val="0"/>
          <w:sz w:val="21"/>
        </w:rPr>
        <w:t>Positive Marks: 1    Negative Marks: 0.25</w:t>
      </w:r>
    </w:p>
    <w:p>
      <w:pPr>
        <w:spacing w:before="280" w:after="40"/>
      </w:pPr>
      <w:r>
        <w:rPr>
          <w:b/>
        </w:rPr>
        <w:t xml:space="preserve">Question: </w:t>
      </w:r>
      <w:r>
        <w:t>Which of the following is the highest priority nursing action before administering Electroconvulsive Therapy (ECT)? (Physical therapies: Electroconvulsive therapy- Treatment modalities and therapies used in mental disorders -Mental Health Nursing)-Basic</w:t>
      </w:r>
    </w:p>
    <w:p>
      <w:pPr>
        <w:spacing w:after="20" w:before="0"/>
      </w:pPr>
      <w:r>
        <w:rPr>
          <w:b w:val="0"/>
          <w:i w:val="0"/>
          <w:sz w:val="21"/>
        </w:rPr>
        <w:t>(a)  Remove all jewelry from the patient</w:t>
      </w:r>
    </w:p>
    <w:p>
      <w:pPr>
        <w:spacing w:after="20" w:before="0"/>
      </w:pPr>
      <w:r>
        <w:rPr>
          <w:b w:val="0"/>
          <w:i w:val="0"/>
          <w:sz w:val="21"/>
        </w:rPr>
        <w:t>(b)  Ensure the patient is NPO (nothing by mouth) for at least 6 hours</w:t>
      </w:r>
    </w:p>
    <w:p>
      <w:pPr>
        <w:spacing w:after="20" w:before="0"/>
      </w:pPr>
      <w:r>
        <w:rPr>
          <w:b w:val="0"/>
          <w:i w:val="0"/>
          <w:sz w:val="21"/>
        </w:rPr>
        <w:t>(c)  Administer prescribed premedication</w:t>
      </w:r>
    </w:p>
    <w:p>
      <w:pPr>
        <w:spacing w:after="20" w:before="0"/>
      </w:pPr>
      <w:r>
        <w:rPr>
          <w:b w:val="0"/>
          <w:i w:val="0"/>
          <w:sz w:val="21"/>
        </w:rPr>
        <w:t>(d)  Remove nail polish</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HIGHEST PRIORITY pre-ECT action is ensuring the patient is NPO FOR AT LEAST 6 HOURS — ECT involves general anaesthesia, and an empty stomach prevents aspiration and regurgitation. Removing jewellery/nail polish and giving premedication are secondary safety details.</w:t>
      </w:r>
    </w:p>
    <w:p>
      <w:pPr>
        <w:spacing w:after="20" w:before="0"/>
      </w:pPr>
      <w:r>
        <w:rPr>
          <w:b/>
        </w:rPr>
        <w:t xml:space="preserve">🔍 Key Clues: </w:t>
      </w:r>
      <w:r>
        <w:t>Pre-ECT priority: NPO ≥ 6 hours (anaesthesia safety) + informed consent.</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Jewellery removal is a safety detail, not the top priority. | c — Premedication is prescribed and secondary. | d — Nail polish removal is minor.</w:t>
      </w:r>
    </w:p>
    <w:p>
      <w:pPr>
        <w:spacing w:after="20" w:before="0"/>
      </w:pPr>
      <w:r>
        <w:rPr>
          <w:b/>
          <w:color w:val="B45F06"/>
        </w:rPr>
        <w:t xml:space="preserve">⚠️ Exam Trap: </w:t>
      </w:r>
      <w:r>
        <w:t>ECT = general anaesthesia → NPO status is the critical safety check.</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Before ECT: patient NPO for at least 6 hours.</w:t>
      </w:r>
    </w:p>
    <w:p>
      <w:pPr>
        <w:spacing w:after="0" w:before="0"/>
      </w:pPr>
      <w:r>
        <w:rPr>
          <w:b/>
          <w:i w:val="0"/>
          <w:sz w:val="21"/>
        </w:rPr>
        <w:t>Positive Marks: 1    Negative Marks: 0.25</w:t>
      </w:r>
    </w:p>
    <w:p>
      <w:pPr>
        <w:spacing w:before="280" w:after="40"/>
      </w:pPr>
      <w:r>
        <w:rPr>
          <w:b/>
        </w:rPr>
        <w:t xml:space="preserve">Question: </w:t>
      </w:r>
      <w:r>
        <w:t>Karamveer made a small mistake at work, he started feeling that he will be immediately fired, despite having no indication from his employer. Which cognitive distortion is this? (MSE-Mental health assessment-Mental Health Nursing)-Moderate</w:t>
      </w:r>
    </w:p>
    <w:p>
      <w:pPr>
        <w:spacing w:after="20" w:before="0"/>
      </w:pPr>
      <w:r>
        <w:rPr>
          <w:b w:val="0"/>
          <w:i w:val="0"/>
          <w:sz w:val="21"/>
        </w:rPr>
        <w:t>(a)  Catastrophizing</w:t>
      </w:r>
    </w:p>
    <w:p>
      <w:pPr>
        <w:spacing w:after="20" w:before="0"/>
      </w:pPr>
      <w:r>
        <w:rPr>
          <w:b w:val="0"/>
          <w:i w:val="0"/>
          <w:sz w:val="21"/>
        </w:rPr>
        <w:t>(b)  Personalization</w:t>
      </w:r>
    </w:p>
    <w:p>
      <w:pPr>
        <w:spacing w:after="20" w:before="0"/>
      </w:pPr>
      <w:r>
        <w:rPr>
          <w:b w:val="0"/>
          <w:i w:val="0"/>
          <w:sz w:val="21"/>
        </w:rPr>
        <w:t>(c)  Filtering</w:t>
      </w:r>
    </w:p>
    <w:p>
      <w:pPr>
        <w:spacing w:after="20" w:before="0"/>
      </w:pPr>
      <w:r>
        <w:rPr>
          <w:b w:val="0"/>
          <w:i w:val="0"/>
          <w:sz w:val="21"/>
        </w:rPr>
        <w:t>(d)  Emotional reasoning</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CATASTROPHIZING is exaggerating a minor event into a predicted catastrophe — a small mistake leading to the belief of immediate dismissal is the classic example. PERSONALIZATION = blaming yourself for external events; FILTERING = attending only to negatives; EMOTIONAL REASONING = treating feelings as facts.</w:t>
      </w:r>
    </w:p>
    <w:p>
      <w:pPr>
        <w:spacing w:after="20" w:before="0"/>
      </w:pPr>
      <w:r>
        <w:rPr>
          <w:b/>
        </w:rPr>
        <w:t xml:space="preserve">🔍 Key Clues: </w:t>
      </w:r>
      <w:r>
        <w:t>Small mistake → predicted firing = catastrophizing (magnification).</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b — Personalization = self-blame for unrelated events. | c — Filtering = selective negative focus. | d — Emotional reasoning = feelings as truth.</w:t>
      </w:r>
    </w:p>
    <w:p>
      <w:pPr>
        <w:spacing w:after="20" w:before="0"/>
      </w:pPr>
      <w:r>
        <w:rPr>
          <w:b/>
          <w:color w:val="B45F06"/>
        </w:rPr>
        <w:t xml:space="preserve">⚠️ Exam Trap: </w:t>
      </w:r>
      <w:r>
        <w:t>Catastrophizing = worst-case magnification; distinct from personalization (blame).</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Small error → fear of firing = catastrophizing.</w:t>
      </w:r>
    </w:p>
    <w:p>
      <w:pPr>
        <w:spacing w:after="0" w:before="0"/>
      </w:pPr>
      <w:r>
        <w:rPr>
          <w:b/>
          <w:i w:val="0"/>
          <w:sz w:val="21"/>
        </w:rPr>
        <w:t>Positive Marks: 1    Negative Marks: 0.25</w:t>
      </w:r>
    </w:p>
    <w:p>
      <w:pPr>
        <w:spacing w:before="280" w:after="40"/>
      </w:pPr>
      <w:r>
        <w:rPr>
          <w:b/>
        </w:rPr>
        <w:t xml:space="preserve">Question: </w:t>
      </w:r>
      <w:r>
        <w:t>A 4-year-old boy does not speak or play with others and becomes panicked when surrounded by people. He prefers a fixed routine and shows distress when it is changed. Which of the following would be the most appropriate intervention for this child? (Behavior therapy- Treatment modalities and therapies used in mental disorders -Mental Health Nursing)-Moderate</w:t>
      </w:r>
    </w:p>
    <w:p>
      <w:pPr>
        <w:spacing w:after="20" w:before="0"/>
      </w:pPr>
      <w:r>
        <w:rPr>
          <w:b w:val="0"/>
          <w:i w:val="0"/>
          <w:sz w:val="21"/>
        </w:rPr>
        <w:t>(a)  Cognitive Behavioral Therapy (CBT)</w:t>
      </w:r>
    </w:p>
    <w:p>
      <w:pPr>
        <w:spacing w:after="20" w:before="0"/>
      </w:pPr>
      <w:r>
        <w:rPr>
          <w:b w:val="0"/>
          <w:i w:val="0"/>
          <w:sz w:val="21"/>
        </w:rPr>
        <w:t>(b)  Applied Behavior Analysis (ABA)</w:t>
      </w:r>
    </w:p>
    <w:p>
      <w:pPr>
        <w:spacing w:after="20" w:before="0"/>
      </w:pPr>
      <w:r>
        <w:rPr>
          <w:b w:val="0"/>
          <w:i w:val="0"/>
          <w:sz w:val="21"/>
        </w:rPr>
        <w:t>(c)  Exposure Therapy</w:t>
      </w:r>
    </w:p>
    <w:p>
      <w:pPr>
        <w:spacing w:after="20" w:before="0"/>
      </w:pPr>
      <w:r>
        <w:rPr>
          <w:b w:val="0"/>
          <w:i w:val="0"/>
          <w:sz w:val="21"/>
        </w:rPr>
        <w:t>(d)  Psychoanalysis</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presentation (no speech/play, panic with people, rigid routines, distress with change) suggests an AUTISM SPECTRUM presentation — the evidence-based behavioural intervention is APPLIED BEHAVIOR ANALYSIS (ABA), which shapes communication and social behaviours through reinforcement. CBT needs verbal ability, exposure therapy treats phobias, and psychoanalysis is unsuitable at this age.</w:t>
      </w:r>
    </w:p>
    <w:p>
      <w:pPr>
        <w:spacing w:after="20" w:before="0"/>
      </w:pPr>
      <w:r>
        <w:rPr>
          <w:b/>
        </w:rPr>
        <w:t xml:space="preserve">🔍 Key Clues: </w:t>
      </w:r>
      <w:r>
        <w:t>Young child + language/social delay + rigidity = autism → ABA.</w:t>
      </w:r>
    </w:p>
    <w:p>
      <w:pPr>
        <w:spacing w:after="20" w:before="0"/>
      </w:pPr>
      <w:r>
        <w:rPr>
          <w:b/>
        </w:rPr>
        <w:t xml:space="preserve">🚨 Priority Principle: </w:t>
      </w:r>
      <w:r>
        <w:t>Patient safety and dignity guide care — reduce risk, avoid confrontation and involve the patient.</w:t>
      </w:r>
    </w:p>
    <w:p>
      <w:pPr>
        <w:spacing w:after="20" w:before="0"/>
      </w:pPr>
      <w:r>
        <w:rPr>
          <w:b/>
        </w:rPr>
        <w:t xml:space="preserve">❌ Why Not Other Options: </w:t>
      </w:r>
      <w:r>
        <w:t>a — CBT is not suited to a 4-year-old with limited language. | c — Exposure therapy is for phobias. | d — Psychoanalysis is inappropriate at this age.</w:t>
      </w:r>
    </w:p>
    <w:p>
      <w:pPr>
        <w:spacing w:after="20" w:before="0"/>
      </w:pPr>
      <w:r>
        <w:rPr>
          <w:b/>
          <w:color w:val="B45F06"/>
        </w:rPr>
        <w:t xml:space="preserve">⚠️ Exam Trap: </w:t>
      </w:r>
      <w:r>
        <w:t>ABA = behavioural shaping; CBT = cognitive restructuring (needs language).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Autism in early childhood: Applied Behavior Analysis (ABA).</w:t>
      </w:r>
    </w:p>
    <w:p>
      <w:pPr>
        <w:spacing w:after="0" w:before="0"/>
      </w:pPr>
      <w:r>
        <w:rPr>
          <w:b/>
          <w:i w:val="0"/>
          <w:sz w:val="21"/>
        </w:rPr>
        <w:t>Positive Marks: 1    Negative Marks: 0.25</w:t>
      </w:r>
    </w:p>
    <w:p>
      <w:pPr>
        <w:spacing w:before="280" w:after="40"/>
      </w:pPr>
      <w:r>
        <w:rPr>
          <w:b/>
        </w:rPr>
        <w:t xml:space="preserve">Question: </w:t>
      </w:r>
      <w:r>
        <w:t>Drug of choice for Obsessive compulsive disorder? (Physical therapies: Psychopharmacology- Treatment modalities and therapies used in mental disorders -Mental health nursing)-Basic</w:t>
      </w:r>
    </w:p>
    <w:p>
      <w:pPr>
        <w:spacing w:after="20" w:before="0"/>
      </w:pPr>
      <w:r>
        <w:rPr>
          <w:b w:val="0"/>
          <w:i w:val="0"/>
          <w:sz w:val="21"/>
        </w:rPr>
        <w:t>(a)  Fluoxetine</w:t>
      </w:r>
    </w:p>
    <w:p>
      <w:pPr>
        <w:spacing w:after="20" w:before="0"/>
      </w:pPr>
      <w:r>
        <w:rPr>
          <w:b w:val="0"/>
          <w:i w:val="0"/>
          <w:sz w:val="21"/>
        </w:rPr>
        <w:t>(b)  Fluvoxamine</w:t>
      </w:r>
    </w:p>
    <w:p>
      <w:pPr>
        <w:spacing w:after="20" w:before="0"/>
      </w:pPr>
      <w:r>
        <w:rPr>
          <w:b w:val="0"/>
          <w:i w:val="0"/>
          <w:sz w:val="21"/>
        </w:rPr>
        <w:t>(c)  Clomipramine</w:t>
      </w:r>
    </w:p>
    <w:p>
      <w:pPr>
        <w:spacing w:after="20" w:before="0"/>
      </w:pPr>
      <w:r>
        <w:rPr>
          <w:b w:val="0"/>
          <w:i w:val="0"/>
          <w:sz w:val="21"/>
        </w:rPr>
        <w:t>(d)  Risperidone</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SSRIs — with FLUOXETINE as the first-line drug of choice — are the standard pharmacotherapy for OCD, combined with cognitive-behavioural therapy (exposure-response prevention). Clomipramine (TCA) was the classic first-line but has more side effects; risperidone is an adjunct for refractory cases.</w:t>
      </w:r>
    </w:p>
    <w:p>
      <w:pPr>
        <w:spacing w:after="20" w:before="0"/>
      </w:pPr>
      <w:r>
        <w:rPr>
          <w:b/>
        </w:rPr>
        <w:t xml:space="preserve">🔍 Key Clues: </w:t>
      </w:r>
      <w:r>
        <w:t>OCD first-line: SSRI (fluoxetine) + exposure-response prevention.</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b — Fluvoxamine is an SSRI alternative. | c — Clomipramine is the classic TCA, not the keyed DOC. | d — Risperidone is an adjunct, not first-line.</w:t>
      </w:r>
    </w:p>
    <w:p>
      <w:pPr>
        <w:spacing w:after="20" w:before="0"/>
      </w:pPr>
      <w:r>
        <w:rPr>
          <w:b/>
          <w:color w:val="B45F06"/>
        </w:rPr>
        <w:t xml:space="preserve">⚠️ Exam Trap: </w:t>
      </w:r>
      <w:r>
        <w:t>SSRI (fluoxetine) is first-line for OCD; clomipramine is the historical TCA choice.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OCD drug of choice: fluoxetine (SSRI).</w:t>
      </w:r>
    </w:p>
    <w:p>
      <w:pPr>
        <w:spacing w:after="0" w:before="0"/>
      </w:pPr>
      <w:r>
        <w:rPr>
          <w:b/>
          <w:i w:val="0"/>
          <w:sz w:val="21"/>
        </w:rPr>
        <w:t>Positive Marks: 1    Negative Marks: 0.25</w:t>
      </w:r>
    </w:p>
    <w:p>
      <w:pPr>
        <w:spacing w:before="280" w:after="40"/>
      </w:pPr>
      <w:r>
        <w:rPr>
          <w:b/>
        </w:rPr>
        <w:t xml:space="preserve">Question: </w:t>
      </w:r>
      <w:r>
        <w:t>The approximate length of the adult human heart, measured from its base to the apex, is typically: (Structure of heart-Circulatory and Lymphatic system-Anatomy and Physiology)-Basic</w:t>
      </w:r>
    </w:p>
    <w:p>
      <w:pPr>
        <w:spacing w:after="20" w:before="0"/>
      </w:pPr>
      <w:r>
        <w:rPr>
          <w:b w:val="0"/>
          <w:i w:val="0"/>
          <w:sz w:val="21"/>
        </w:rPr>
        <w:t>(a)  8 cm</w:t>
      </w:r>
    </w:p>
    <w:p>
      <w:pPr>
        <w:spacing w:after="20" w:before="0"/>
      </w:pPr>
      <w:r>
        <w:rPr>
          <w:b w:val="0"/>
          <w:i w:val="0"/>
          <w:sz w:val="21"/>
        </w:rPr>
        <w:t>(b)  12 cm</w:t>
      </w:r>
    </w:p>
    <w:p>
      <w:pPr>
        <w:spacing w:after="20" w:before="0"/>
      </w:pPr>
      <w:r>
        <w:rPr>
          <w:b w:val="0"/>
          <w:i w:val="0"/>
          <w:sz w:val="21"/>
        </w:rPr>
        <w:t>(c)  15 cm</w:t>
      </w:r>
    </w:p>
    <w:p>
      <w:pPr>
        <w:spacing w:after="20" w:before="0"/>
      </w:pPr>
      <w:r>
        <w:rPr>
          <w:b w:val="0"/>
          <w:i w:val="0"/>
          <w:sz w:val="21"/>
        </w:rPr>
        <w:t>(d)  18 cm</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adult heart is about 12 CM long (base to apex), ~8-9 cm wide and ~6 cm thick, weighing approximately 250-350 g (about 300 g in males, 250 g in females).</w:t>
      </w:r>
    </w:p>
    <w:p>
      <w:pPr>
        <w:spacing w:after="20" w:before="0"/>
      </w:pPr>
      <w:r>
        <w:rPr>
          <w:b/>
        </w:rPr>
        <w:t xml:space="preserve">🔍 Key Clues: </w:t>
      </w:r>
      <w:r>
        <w:t>Heart size: length ~12 cm, width ~9 cm, weight ~300 g.</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8 cm is closer to the width. | c — 15 cm is too long. | d — 18 cm is too long.</w:t>
      </w:r>
    </w:p>
    <w:p>
      <w:pPr>
        <w:spacing w:after="20" w:before="0"/>
      </w:pPr>
      <w:r>
        <w:rPr>
          <w:b/>
          <w:color w:val="B45F06"/>
        </w:rPr>
        <w:t xml:space="preserve">⚠️ Exam Trap: </w:t>
      </w:r>
      <w:r>
        <w:t>Length 12 cm, width 9 cm, weight 300 g — three numbers to memorise.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Adult heart: ~12 cm long, ~9 cm wide, ~300 g.</w:t>
      </w:r>
    </w:p>
    <w:p>
      <w:pPr>
        <w:spacing w:after="0" w:before="0"/>
      </w:pPr>
      <w:r>
        <w:rPr>
          <w:b/>
          <w:i w:val="0"/>
          <w:sz w:val="21"/>
        </w:rPr>
        <w:t>Positive Marks: 1    Negative Marks: 0.25</w:t>
      </w:r>
    </w:p>
    <w:p>
      <w:pPr>
        <w:spacing w:before="280" w:after="40"/>
      </w:pPr>
      <w:r>
        <w:rPr>
          <w:b/>
        </w:rPr>
        <w:t xml:space="preserve">Question: </w:t>
      </w:r>
      <w:r>
        <w:t>The normal physiological range for Central Venous Pressure (CVP) is primarily determined by the: (Circulation-Coronary, pulmonary, systemic –Circulatory and Lymphatic system-Anatomy and Physiology)-Moderate</w:t>
      </w:r>
    </w:p>
    <w:p>
      <w:pPr>
        <w:spacing w:after="20" w:before="0"/>
      </w:pPr>
      <w:r>
        <w:rPr>
          <w:b w:val="0"/>
          <w:i w:val="0"/>
          <w:sz w:val="21"/>
        </w:rPr>
        <w:t>(a)  Contractility of the left ventricle</w:t>
      </w:r>
    </w:p>
    <w:p>
      <w:pPr>
        <w:spacing w:after="20" w:before="0"/>
      </w:pPr>
      <w:r>
        <w:rPr>
          <w:b w:val="0"/>
          <w:i w:val="0"/>
          <w:sz w:val="21"/>
        </w:rPr>
        <w:t>(b)  Resistance in the pulmonary vasculature</w:t>
      </w:r>
    </w:p>
    <w:p>
      <w:pPr>
        <w:spacing w:after="20" w:before="0"/>
      </w:pPr>
      <w:r>
        <w:rPr>
          <w:b w:val="0"/>
          <w:i w:val="0"/>
          <w:sz w:val="21"/>
        </w:rPr>
        <w:t>(c)  Volume of blood returning to the right atrium and the ability of the right ventricle to pump it forward</w:t>
      </w:r>
    </w:p>
    <w:p>
      <w:pPr>
        <w:spacing w:after="20" w:before="0"/>
      </w:pPr>
      <w:r>
        <w:rPr>
          <w:b w:val="0"/>
          <w:i w:val="0"/>
          <w:sz w:val="21"/>
        </w:rPr>
        <w:t>(d)  Systemic arterial blood pressure</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CVP (normal 2-8 mmHg) reflects RIGHT ATRIAL pressure — determined by the VOLUME OF BLOOD RETURNING to the right atrium (venous return) and the RIGHT VENTRICLE’s ability to PUMP IT FORWARD. It is a right-sided preload indicator, not LV contractility, pulmonary resistance or arterial pressure.</w:t>
      </w:r>
    </w:p>
    <w:p>
      <w:pPr>
        <w:spacing w:after="20" w:before="0"/>
      </w:pPr>
      <w:r>
        <w:rPr>
          <w:b/>
        </w:rPr>
        <w:t xml:space="preserve">🔍 Key Clues: </w:t>
      </w:r>
      <w:r>
        <w:t>CVP = right atrial pressure = venous return vs right ventricular output.</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LV contractility is not the CVP determinant. | b — Pulmonary resistance is not the primary determinant. | d — Arterial pressure is a different parameter.</w:t>
      </w:r>
    </w:p>
    <w:p>
      <w:pPr>
        <w:spacing w:after="20" w:before="0"/>
      </w:pPr>
      <w:r>
        <w:rPr>
          <w:b/>
          <w:color w:val="B45F06"/>
        </w:rPr>
        <w:t xml:space="preserve">⚠️ Exam Trap: </w:t>
      </w:r>
      <w:r>
        <w:t>CVP = right preload; PAWP = left preload.</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CVP: venous return vs right ventricular pumping (2-8 mmHg).</w:t>
      </w:r>
    </w:p>
    <w:p>
      <w:pPr>
        <w:spacing w:after="0" w:before="0"/>
      </w:pPr>
      <w:r>
        <w:rPr>
          <w:b/>
          <w:i w:val="0"/>
          <w:sz w:val="21"/>
        </w:rPr>
        <w:t>Positive Marks: 1    Negative Marks: 0.25</w:t>
      </w:r>
    </w:p>
    <w:p>
      <w:pPr>
        <w:spacing w:before="280" w:after="40"/>
      </w:pPr>
      <w:r>
        <w:rPr>
          <w:b/>
        </w:rPr>
        <w:t xml:space="preserve">Question: </w:t>
      </w:r>
      <w:r>
        <w:t>Identify the labeled part ‘A’ in the image of the AMBU bag shown below. (Oxygen administration-Oxygenation needs-Nursing Foundations)-Basic</w:t>
      </w:r>
    </w:p>
    <w:p>
      <w:pPr>
        <w:spacing w:after="40" w:before="0"/>
      </w:pPr>
      <w:r>
        <w:rPr>
          <w:b w:val="0"/>
          <w:i/>
          <w:color w:val="B45F06"/>
          <w:sz w:val="20"/>
        </w:rPr>
        <w:t>[ IMAGE: N8-Q57 — image in the Image Bank, to be inserted ]</w:t>
      </w:r>
    </w:p>
    <w:p>
      <w:pPr>
        <w:spacing w:after="20" w:before="0"/>
      </w:pPr>
      <w:r>
        <w:rPr>
          <w:b w:val="0"/>
          <w:i w:val="0"/>
          <w:sz w:val="21"/>
        </w:rPr>
        <w:t>(a)  Self-inflating bag</w:t>
      </w:r>
    </w:p>
    <w:p>
      <w:pPr>
        <w:spacing w:after="20" w:before="0"/>
      </w:pPr>
      <w:r>
        <w:rPr>
          <w:b w:val="0"/>
          <w:i w:val="0"/>
          <w:sz w:val="21"/>
        </w:rPr>
        <w:t>(b)  Oxygen inlet port</w:t>
      </w:r>
    </w:p>
    <w:p>
      <w:pPr>
        <w:spacing w:after="20" w:before="0"/>
      </w:pPr>
      <w:r>
        <w:rPr>
          <w:b w:val="0"/>
          <w:i w:val="0"/>
          <w:sz w:val="21"/>
        </w:rPr>
        <w:t>(c)  Oxygen reservoir bag</w:t>
      </w:r>
    </w:p>
    <w:p>
      <w:pPr>
        <w:spacing w:after="20" w:before="0"/>
      </w:pPr>
      <w:r>
        <w:rPr>
          <w:b w:val="0"/>
          <w:i w:val="0"/>
          <w:sz w:val="21"/>
        </w:rPr>
        <w:t>(d)  Face mask connector</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The labeled part ‘A’ on the AMBU (bag-valve-mask) device is the OXYGEN RESERVOIR BAG — a corrugated/plastic bag attached to the tail of the self-inflating bag that stores 100% oxygen between breaths, allowing delivery of high-concentration oxygen. The self-inflating bag, oxygen inlet port and mask connector are other labelled components.</w:t>
      </w:r>
    </w:p>
    <w:p>
      <w:pPr>
        <w:spacing w:after="20" w:before="0"/>
      </w:pPr>
      <w:r>
        <w:rPr>
          <w:b/>
        </w:rPr>
        <w:t xml:space="preserve">🔍 Key Clues: </w:t>
      </w:r>
      <w:r>
        <w:t>AMBU parts: reservoir bag (tail), self-inflating bag (body), inlet port, mask connector.</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The self-inflating bag is the main body, not part A. | b — The oxygen inlet port is the nipple on the bag. | d — The face mask connector is at the front.</w:t>
      </w:r>
    </w:p>
    <w:p>
      <w:pPr>
        <w:spacing w:after="20" w:before="0"/>
      </w:pPr>
      <w:r>
        <w:rPr>
          <w:b/>
          <w:color w:val="B45F06"/>
        </w:rPr>
        <w:t xml:space="preserve">⚠️ Exam Trap: </w:t>
      </w:r>
      <w:r>
        <w:t>Without the reservoir bag, an AMBU delivers only room-air oxygen (~21%); with it, up to 100%.</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AMBU part A: oxygen reservoir bag (delivers high FiO2).</w:t>
      </w:r>
    </w:p>
    <w:p>
      <w:pPr>
        <w:spacing w:after="0" w:before="0"/>
      </w:pPr>
      <w:r>
        <w:rPr>
          <w:b/>
          <w:i w:val="0"/>
          <w:sz w:val="21"/>
        </w:rPr>
        <w:t>Positive Marks: 1    Negative Marks: 0.25</w:t>
      </w:r>
    </w:p>
    <w:p>
      <w:pPr>
        <w:spacing w:before="280" w:after="40"/>
      </w:pPr>
      <w:r>
        <w:rPr>
          <w:b/>
        </w:rPr>
        <w:t xml:space="preserve">Question: </w:t>
      </w:r>
      <w:r>
        <w:t>The Parkland formula used for fluid resuscitation in burn patients is: (Burns and scalds-First aid-Nursing Foundations)-Basic</w:t>
      </w:r>
    </w:p>
    <w:p>
      <w:pPr>
        <w:spacing w:after="20" w:before="0"/>
      </w:pPr>
      <w:r>
        <w:rPr>
          <w:b w:val="0"/>
          <w:i w:val="0"/>
          <w:sz w:val="21"/>
        </w:rPr>
        <w:t>(a)  2 mL × body weight (kg) × % TBSA burn</w:t>
      </w:r>
    </w:p>
    <w:p>
      <w:pPr>
        <w:spacing w:after="20" w:before="0"/>
      </w:pPr>
      <w:r>
        <w:rPr>
          <w:b w:val="0"/>
          <w:i w:val="0"/>
          <w:sz w:val="21"/>
        </w:rPr>
        <w:t>(b)  3 mL × body weight (kg) × % TBSA burn</w:t>
      </w:r>
    </w:p>
    <w:p>
      <w:pPr>
        <w:spacing w:after="20" w:before="0"/>
      </w:pPr>
      <w:r>
        <w:rPr>
          <w:b w:val="0"/>
          <w:i w:val="0"/>
          <w:sz w:val="21"/>
        </w:rPr>
        <w:t>(c)  4 mL × body weight (kg) × % TBSA burn</w:t>
      </w:r>
    </w:p>
    <w:p>
      <w:pPr>
        <w:spacing w:after="20" w:before="0"/>
      </w:pPr>
      <w:r>
        <w:rPr>
          <w:b w:val="0"/>
          <w:i w:val="0"/>
          <w:sz w:val="21"/>
        </w:rPr>
        <w:t>(d)  5 mL × body weight (kg) × % TBSA burn</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The PARKLAND FORMULA for burn fluid resuscitation is 4 mL × body weight (kg) × % TBSA burn of crystalloid (Ringer’s lactate) in the first 24 hours — HALF given in the first 8 hours, the other half over the next 16 hours.</w:t>
      </w:r>
    </w:p>
    <w:p>
      <w:pPr>
        <w:spacing w:after="20" w:before="0"/>
      </w:pPr>
      <w:r>
        <w:rPr>
          <w:b/>
        </w:rPr>
        <w:t xml:space="preserve">🔍 Key Clues: </w:t>
      </w:r>
      <w:r>
        <w:t>Parkland: 4 mL/kg/% TBSA in 24 h (half in first 8 h).</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2 mL is not the Parkland coefficient. | b — 3 mL is not the Parkland coefficient. | d — 5 mL is not the Parkland coefficient.</w:t>
      </w:r>
    </w:p>
    <w:p>
      <w:pPr>
        <w:spacing w:after="20" w:before="0"/>
      </w:pPr>
      <w:r>
        <w:rPr>
          <w:b/>
          <w:color w:val="B45F06"/>
        </w:rPr>
        <w:t xml:space="preserve">⚠️ Exam Trap: </w:t>
      </w:r>
      <w:r>
        <w:t>Parkland = 4 mL; remember half in 8 hours, half in 16 hours.</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Parkland: 4 mL/kg/% TBSA (RL) in 24 hours.</w:t>
      </w:r>
    </w:p>
    <w:p>
      <w:pPr>
        <w:spacing w:after="0" w:before="0"/>
      </w:pPr>
      <w:r>
        <w:rPr>
          <w:b/>
          <w:i w:val="0"/>
          <w:sz w:val="21"/>
        </w:rPr>
        <w:t>Positive Marks: 1    Negative Marks: 0.25</w:t>
      </w:r>
    </w:p>
    <w:p>
      <w:pPr>
        <w:spacing w:before="280" w:after="40"/>
      </w:pPr>
      <w:r>
        <w:rPr>
          <w:b/>
        </w:rPr>
        <w:t xml:space="preserve">Question: </w:t>
      </w:r>
      <w:r>
        <w:t>A 70 kg adult patient with 40% burn is brought to the emergency room. Using the Parkland formula, how much fluid should be administered in the first 8 hours? (Burns and scalds-First aid-Nursing Foundations)-Basic</w:t>
      </w:r>
    </w:p>
    <w:p>
      <w:pPr>
        <w:spacing w:after="20" w:before="0"/>
      </w:pPr>
      <w:r>
        <w:rPr>
          <w:b w:val="0"/>
          <w:i w:val="0"/>
          <w:sz w:val="21"/>
        </w:rPr>
        <w:t>(a)  3600 mL</w:t>
      </w:r>
    </w:p>
    <w:p>
      <w:pPr>
        <w:spacing w:after="20" w:before="0"/>
      </w:pPr>
      <w:r>
        <w:rPr>
          <w:b w:val="0"/>
          <w:i w:val="0"/>
          <w:sz w:val="21"/>
        </w:rPr>
        <w:t>(b)  7200 mL</w:t>
      </w:r>
    </w:p>
    <w:p>
      <w:pPr>
        <w:spacing w:after="20" w:before="0"/>
      </w:pPr>
      <w:r>
        <w:rPr>
          <w:b w:val="0"/>
          <w:i w:val="0"/>
          <w:sz w:val="21"/>
        </w:rPr>
        <w:t>(c)  11,200 mL</w:t>
      </w:r>
    </w:p>
    <w:p>
      <w:pPr>
        <w:spacing w:after="20" w:before="0"/>
      </w:pPr>
      <w:r>
        <w:rPr>
          <w:b w:val="0"/>
          <w:i w:val="0"/>
          <w:sz w:val="21"/>
        </w:rPr>
        <w:t>(d)  5,600 mL</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Parkland total = 4 × 70 kg × 40% = 11,200 mL in 24 hours. HALF (5,600 mL) is given in the FIRST 8 HOURS, the remaining half over the next 16 hours.</w:t>
      </w:r>
    </w:p>
    <w:p>
      <w:pPr>
        <w:spacing w:after="20" w:before="0"/>
      </w:pPr>
      <w:r>
        <w:rPr>
          <w:b/>
        </w:rPr>
        <w:t xml:space="preserve">🔍 Key Clues: </w:t>
      </w:r>
      <w:r>
        <w:t>4 × 70 × 40 = 11,200 mL total; half = 5,600 mL in first 8 h.</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3600 mL is not the calculated half. | b — 7200 mL is not correct. | c — 11,200 mL is the FULL 24-hour volume.</w:t>
      </w:r>
    </w:p>
    <w:p>
      <w:pPr>
        <w:spacing w:after="20" w:before="0"/>
      </w:pPr>
      <w:r>
        <w:rPr>
          <w:b/>
          <w:color w:val="B45F06"/>
        </w:rPr>
        <w:t xml:space="preserve">⚠️ Exam Trap: </w:t>
      </w:r>
      <w:r>
        <w:t>The question asks for the FIRST 8 HOURS — always halve the total.</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70 kg, 40% burn: 11,200 mL total → 5,600 mL in first 8 hours.</w:t>
      </w:r>
    </w:p>
    <w:p>
      <w:pPr>
        <w:spacing w:after="0" w:before="0"/>
      </w:pPr>
      <w:r>
        <w:rPr>
          <w:b/>
          <w:i w:val="0"/>
          <w:sz w:val="21"/>
        </w:rPr>
        <w:t>Positive Marks: 1    Negative Marks: 0.25</w:t>
      </w:r>
    </w:p>
    <w:p>
      <w:pPr>
        <w:spacing w:before="280" w:after="40"/>
      </w:pPr>
      <w:r>
        <w:rPr>
          <w:b/>
        </w:rPr>
        <w:t xml:space="preserve">Question: </w:t>
      </w:r>
      <w:r>
        <w:t>Identify the image given below. (Enteral nutrition and feeding-Nutritional needs-Nursing Foundations)-Moderate</w:t>
      </w:r>
    </w:p>
    <w:p>
      <w:pPr>
        <w:spacing w:after="40" w:before="0"/>
      </w:pPr>
      <w:r>
        <w:rPr>
          <w:b w:val="0"/>
          <w:i/>
          <w:color w:val="B45F06"/>
          <w:sz w:val="20"/>
        </w:rPr>
        <w:t>[ IMAGE: N8-Q60 — image in the Image Bank, to be inserted ]</w:t>
      </w:r>
    </w:p>
    <w:p>
      <w:pPr>
        <w:spacing w:after="20" w:before="0"/>
      </w:pPr>
      <w:r>
        <w:rPr>
          <w:b w:val="0"/>
          <w:i w:val="0"/>
          <w:sz w:val="21"/>
        </w:rPr>
        <w:t>(a)  Nasogastric tube (Ryle’s tube)</w:t>
      </w:r>
    </w:p>
    <w:p>
      <w:pPr>
        <w:spacing w:after="20" w:before="0"/>
      </w:pPr>
      <w:r>
        <w:rPr>
          <w:b w:val="0"/>
          <w:i w:val="0"/>
          <w:sz w:val="21"/>
        </w:rPr>
        <w:t>(b)  Foley catheter</w:t>
      </w:r>
    </w:p>
    <w:p>
      <w:pPr>
        <w:spacing w:after="20" w:before="0"/>
      </w:pPr>
      <w:r>
        <w:rPr>
          <w:b w:val="0"/>
          <w:i w:val="0"/>
          <w:sz w:val="21"/>
        </w:rPr>
        <w:t>(c)  Gastrostomy tube</w:t>
      </w:r>
    </w:p>
    <w:p>
      <w:pPr>
        <w:spacing w:after="20" w:before="0"/>
      </w:pPr>
      <w:r>
        <w:rPr>
          <w:b w:val="0"/>
          <w:i w:val="0"/>
          <w:sz w:val="21"/>
        </w:rPr>
        <w:t>(d)  Endotracheal tube</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Per the image and printed key, the device shown is a GASTROSTOMY TUBE — a feeding tube placed surgically/percutaneously through the abdominal wall directly into the stomach for long-term enteral feeding. A Ryle’s tube enters via the nose; a Foley is a urinary catheter; an ETT is an airway device.</w:t>
      </w:r>
    </w:p>
    <w:p>
      <w:pPr>
        <w:spacing w:after="20" w:before="0"/>
      </w:pPr>
      <w:r>
        <w:rPr>
          <w:b/>
        </w:rPr>
        <w:t xml:space="preserve">🔍 Key Clues: </w:t>
      </w:r>
      <w:r>
        <w:t>Feeding tube through the abdominal wall into the stomach = gastrostomy tube.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Ryle’s tube is a nasogastric tube (nose to stomach). | b — Foley catheter = urinary bladder catheter. | d — ETT = endotracheal airway tube.</w:t>
      </w:r>
    </w:p>
    <w:p>
      <w:pPr>
        <w:spacing w:after="20" w:before="0"/>
      </w:pPr>
      <w:r>
        <w:rPr>
          <w:b/>
          <w:color w:val="B45F06"/>
        </w:rPr>
        <w:t xml:space="preserve">⚠️ Exam Trap: </w:t>
      </w:r>
      <w:r>
        <w:t>Route map: NG (nose), gastrostomy (abdominal wall), jejunostomy (small bowel).</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Gastrostomy tube: long-term enteral feeding via the abdominal wall.</w:t>
      </w:r>
    </w:p>
    <w:p>
      <w:pPr>
        <w:spacing w:after="0" w:before="0"/>
      </w:pPr>
      <w:r>
        <w:rPr>
          <w:b/>
          <w:i w:val="0"/>
          <w:sz w:val="21"/>
        </w:rPr>
        <w:t>Positive Marks: 1    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