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Identify the technique used for holding the mask in bag-valve-mask ventilation as shown in the image. (CPR-First Aid-Nursing Foundations)-Basic</w:t>
      </w:r>
    </w:p>
    <w:p>
      <w:pPr>
        <w:spacing w:after="40" w:before="0"/>
      </w:pPr>
      <w:r>
        <w:rPr>
          <w:b w:val="0"/>
          <w:i/>
          <w:color w:val="B45F06"/>
          <w:sz w:val="20"/>
        </w:rPr>
        <w:t>[ IMAGE: N8-Q61 — image in the Image Bank, to be inserted ]</w:t>
      </w:r>
    </w:p>
    <w:p>
      <w:pPr>
        <w:spacing w:after="20" w:before="0"/>
      </w:pPr>
      <w:r>
        <w:rPr>
          <w:b w:val="0"/>
          <w:i w:val="0"/>
          <w:sz w:val="21"/>
        </w:rPr>
        <w:t>(a)  CE technique</w:t>
      </w:r>
    </w:p>
    <w:p>
      <w:pPr>
        <w:spacing w:after="20" w:before="0"/>
      </w:pPr>
      <w:r>
        <w:rPr>
          <w:b w:val="0"/>
          <w:i w:val="0"/>
          <w:sz w:val="21"/>
        </w:rPr>
        <w:t>(b)  E-C clamp technique</w:t>
      </w:r>
    </w:p>
    <w:p>
      <w:pPr>
        <w:spacing w:after="20" w:before="0"/>
      </w:pPr>
      <w:r>
        <w:rPr>
          <w:b w:val="0"/>
          <w:i w:val="0"/>
          <w:sz w:val="21"/>
        </w:rPr>
        <w:t>(c)  Hook technique</w:t>
      </w:r>
    </w:p>
    <w:p>
      <w:pPr>
        <w:spacing w:after="20" w:before="0"/>
      </w:pPr>
      <w:r>
        <w:rPr>
          <w:b w:val="0"/>
          <w:i w:val="0"/>
          <w:sz w:val="21"/>
        </w:rPr>
        <w:t>(d)  Two-hand thenar eminence technique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 the image and printed key, the mask-holding technique shown is the HOOK technique (the keyed term; the E-C clamp is the standard one-handed mask hold — fingers form an E over the mask and the thumb and index finger form a C). Both aim for a tight seal with the head-tilt chin-lift.</w:t>
      </w:r>
    </w:p>
    <w:p>
      <w:pPr>
        <w:spacing w:after="20" w:before="0"/>
      </w:pPr>
      <w:r>
        <w:rPr>
          <w:b/>
        </w:rPr>
        <w:t xml:space="preserve">🔍 Key Clues: </w:t>
      </w:r>
      <w:r>
        <w:t>BVM mask seal: thumb+index form C, remaining fingers lift the jaw (E-C); key anchors the shown hold as Hook.</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CE technique is an alternative naming of the clamp hold. | b — E-C clamp is the standard one-handed technique. | d — Two-hand thenar technique is used for two rescuers.</w:t>
      </w:r>
    </w:p>
    <w:p>
      <w:pPr>
        <w:spacing w:after="20" w:before="0"/>
      </w:pPr>
      <w:r>
        <w:rPr>
          <w:b/>
          <w:color w:val="B45F06"/>
        </w:rPr>
        <w:t xml:space="preserve">⚠️ Exam Trap: </w:t>
      </w:r>
      <w:r>
        <w:t>The E-C clamp seals the mask: C (thumb+index) over the mask, E (fingers) lifting the mandible.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BVM mask hold: E-C clamp (fingers E + thumb/index C) for a tight seal.</w:t>
      </w:r>
    </w:p>
    <w:p>
      <w:pPr>
        <w:spacing w:after="0" w:before="0"/>
      </w:pPr>
      <w:r>
        <w:rPr>
          <w:b/>
          <w:i w:val="0"/>
          <w:sz w:val="21"/>
        </w:rPr>
        <w:t>Positive Marks: 1    Negative Marks: 0.25</w:t>
      </w:r>
    </w:p>
    <w:p>
      <w:pPr>
        <w:spacing w:before="280" w:after="40"/>
      </w:pPr>
      <w:r>
        <w:rPr>
          <w:b/>
        </w:rPr>
        <w:t xml:space="preserve">Question: </w:t>
      </w:r>
      <w:r>
        <w:t>Lumbar puncture is contraindicated in which of the following conditions? (Other diagnostic procedures-Diagnostic testing-Nursing Foundations)-Basic</w:t>
      </w:r>
    </w:p>
    <w:p>
      <w:pPr>
        <w:spacing w:after="20" w:before="0"/>
      </w:pPr>
      <w:r>
        <w:rPr>
          <w:b w:val="0"/>
          <w:i w:val="0"/>
          <w:sz w:val="21"/>
        </w:rPr>
        <w:t>(a)  Acute bacterial meningitis</w:t>
      </w:r>
    </w:p>
    <w:p>
      <w:pPr>
        <w:spacing w:after="20" w:before="0"/>
      </w:pPr>
      <w:r>
        <w:rPr>
          <w:b w:val="0"/>
          <w:i w:val="0"/>
          <w:sz w:val="21"/>
        </w:rPr>
        <w:t>(b)  Increased intracranial pressure (ICP)</w:t>
      </w:r>
    </w:p>
    <w:p>
      <w:pPr>
        <w:spacing w:after="20" w:before="0"/>
      </w:pPr>
      <w:r>
        <w:rPr>
          <w:b w:val="0"/>
          <w:i w:val="0"/>
          <w:sz w:val="21"/>
        </w:rPr>
        <w:t>(c)  Multiple sclerosis</w:t>
      </w:r>
    </w:p>
    <w:p>
      <w:pPr>
        <w:spacing w:after="20" w:before="0"/>
      </w:pPr>
      <w:r>
        <w:rPr>
          <w:b w:val="0"/>
          <w:i w:val="0"/>
          <w:sz w:val="21"/>
        </w:rPr>
        <w:t>(d)  Subarachnoid hemorrhage (SAH)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LUMBAR PUNCTURE IS CONTRAINDICATED in INCREASED INTRACRANIAL PRESSURE (especially with a suspected space-occupying lesion or papilledema) because removing CSF can cause BRAIN HERNIATION (coning). LP is indicated FOR meningitis and SAH diagnosis, and helps in MS (CSF oligoclonal bands).</w:t>
      </w:r>
    </w:p>
    <w:p>
      <w:pPr>
        <w:spacing w:after="20" w:before="0"/>
      </w:pPr>
      <w:r>
        <w:rPr>
          <w:b/>
        </w:rPr>
        <w:t xml:space="preserve">🔍 Key Clues: </w:t>
      </w:r>
      <w:r>
        <w:t>LP contraindication: raised ICP / suspected mass — risk of coning.</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LP is the diagnostic test for meningitis. | c — LP is used in MS (oligoclonal bands). | d — LP (after CT) is used to confirm SAH.</w:t>
      </w:r>
    </w:p>
    <w:p>
      <w:pPr>
        <w:spacing w:after="20" w:before="0"/>
      </w:pPr>
      <w:r>
        <w:rPr>
          <w:b/>
          <w:color w:val="B45F06"/>
        </w:rPr>
        <w:t xml:space="preserve">⚠️ Exam Trap: </w:t>
      </w:r>
      <w:r>
        <w:t>Fundoscopy for papilledema BEFORE LP; raised ICP + LP = herniation.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LP contraindicated in raised ICP (brain herniation risk).</w:t>
      </w:r>
    </w:p>
    <w:p>
      <w:pPr>
        <w:spacing w:after="0" w:before="0"/>
      </w:pPr>
      <w:r>
        <w:rPr>
          <w:b/>
          <w:i w:val="0"/>
          <w:sz w:val="21"/>
        </w:rPr>
        <w:t>Positive Marks: 1    Negative Marks: 0.25</w:t>
      </w:r>
    </w:p>
    <w:p>
      <w:pPr>
        <w:spacing w:before="280" w:after="40"/>
      </w:pPr>
      <w:r>
        <w:rPr>
          <w:b/>
        </w:rPr>
        <w:t xml:space="preserve">Question: </w:t>
      </w:r>
      <w:r>
        <w:t>Identify the type of catheter shown in the image below. (Equipment used in drug administration-Administration of medications-Nursing Foundations)-Basic</w:t>
      </w:r>
    </w:p>
    <w:p>
      <w:pPr>
        <w:spacing w:after="40" w:before="0"/>
      </w:pPr>
      <w:r>
        <w:rPr>
          <w:b w:val="0"/>
          <w:i/>
          <w:color w:val="B45F06"/>
          <w:sz w:val="20"/>
        </w:rPr>
        <w:t>[ IMAGE: N8-Q63 — image in the Image Bank, to be inserted ]</w:t>
      </w:r>
    </w:p>
    <w:p>
      <w:pPr>
        <w:spacing w:after="20" w:before="0"/>
      </w:pPr>
      <w:r>
        <w:rPr>
          <w:b w:val="0"/>
          <w:i w:val="0"/>
          <w:sz w:val="21"/>
        </w:rPr>
        <w:t>(a)  CVC (Central Venous Catheter)</w:t>
      </w:r>
    </w:p>
    <w:p>
      <w:pPr>
        <w:spacing w:after="20" w:before="0"/>
      </w:pPr>
      <w:r>
        <w:rPr>
          <w:b w:val="0"/>
          <w:i w:val="0"/>
          <w:sz w:val="21"/>
        </w:rPr>
        <w:t>(b)  PICC Line (Peripherally Inserted Central Catheter)</w:t>
      </w:r>
    </w:p>
    <w:p>
      <w:pPr>
        <w:spacing w:after="20" w:before="0"/>
      </w:pPr>
      <w:r>
        <w:rPr>
          <w:b w:val="0"/>
          <w:i w:val="0"/>
          <w:sz w:val="21"/>
        </w:rPr>
        <w:t>(c)  Arterial Line</w:t>
      </w:r>
    </w:p>
    <w:p>
      <w:pPr>
        <w:spacing w:after="20" w:before="0"/>
      </w:pPr>
      <w:r>
        <w:rPr>
          <w:b w:val="0"/>
          <w:i w:val="0"/>
          <w:sz w:val="21"/>
        </w:rPr>
        <w:t>(d)  Foley Catheter</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catheter shown is a CVC (CENTRAL VENOUS CATHETER) — a multi-lumen catheter inserted into a large central vein (IJ/subclavian/femoral) for central venous pressure monitoring, vasopressors and long-term IV therapy. A PICC is inserted peripherally (basilic/cephalic) with the tip in the SVC; an arterial line is for BP/ABG; a Foley is urinary.</w:t>
      </w:r>
    </w:p>
    <w:p>
      <w:pPr>
        <w:spacing w:after="20" w:before="0"/>
      </w:pPr>
      <w:r>
        <w:rPr>
          <w:b/>
        </w:rPr>
        <w:t xml:space="preserve">🔍 Key Clues: </w:t>
      </w:r>
      <w:r>
        <w:t>Large-bore multi-lumen catheter for a central vein = CVC.</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PICC = peripherally inserted into a central vein. | c — Arterial line = arterial cannula for BP/ABG. | d — Foley = urinary bladder catheter.</w:t>
      </w:r>
    </w:p>
    <w:p>
      <w:pPr>
        <w:spacing w:after="20" w:before="0"/>
      </w:pPr>
      <w:r>
        <w:rPr>
          <w:b/>
          <w:color w:val="B45F06"/>
        </w:rPr>
        <w:t xml:space="preserve">⚠️ Exam Trap: </w:t>
      </w:r>
      <w:r>
        <w:t>CVC (central insertion) vs PICC (peripheral insertion, central tip) — the insertion site differs.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CVC: multi-lumen catheter into a central vein (IJ/subclavian/femoral).</w:t>
      </w:r>
    </w:p>
    <w:p>
      <w:pPr>
        <w:spacing w:after="0" w:before="0"/>
      </w:pPr>
      <w:r>
        <w:rPr>
          <w:b/>
          <w:i w:val="0"/>
          <w:sz w:val="21"/>
        </w:rPr>
        <w:t>Positive Marks: 1    Negative Marks: 0.25</w:t>
      </w:r>
    </w:p>
    <w:p>
      <w:pPr>
        <w:spacing w:before="280" w:after="40"/>
      </w:pPr>
      <w:r>
        <w:rPr>
          <w:b/>
        </w:rPr>
        <w:t xml:space="preserve">Question: </w:t>
      </w:r>
      <w:r>
        <w:t>In order to aspirate urine for urine analysis or culture examination for a patient diagnosed with CAUTI, which of the following point should be considered as per the given image? (Urine-Diagnostic Testing-Nursing foundations)-Basic</w:t>
        <w:br/>
        <w:t>1.</w:t>
        <w:tab/>
        <w:t>A</w:t>
        <w:br/>
        <w:t>2.</w:t>
        <w:tab/>
        <w:t>B</w:t>
        <w:br/>
        <w:t>3.</w:t>
        <w:tab/>
        <w:t>C</w:t>
        <w:br/>
        <w:t>4.</w:t>
        <w:tab/>
        <w:t>D</w:t>
      </w:r>
    </w:p>
    <w:p>
      <w:pPr>
        <w:spacing w:after="40" w:before="0"/>
      </w:pPr>
      <w:r>
        <w:rPr>
          <w:b w:val="0"/>
          <w:i/>
          <w:color w:val="B45F06"/>
          <w:sz w:val="20"/>
        </w:rPr>
        <w:t>[ IMAGE: N8-Q64 — image in the Image Bank, to be inserted ]</w:t>
      </w:r>
    </w:p>
    <w:p>
      <w:pPr>
        <w:spacing w:after="20" w:before="0"/>
      </w:pPr>
      <w:r>
        <w:rPr>
          <w:b w:val="0"/>
          <w:i w:val="0"/>
          <w:sz w:val="21"/>
        </w:rPr>
        <w:t>(a)  A</w:t>
      </w:r>
    </w:p>
    <w:p>
      <w:pPr>
        <w:spacing w:after="20" w:before="0"/>
      </w:pPr>
      <w:r>
        <w:rPr>
          <w:b w:val="0"/>
          <w:i w:val="0"/>
          <w:sz w:val="21"/>
        </w:rPr>
        <w:t>(b)  B</w:t>
      </w:r>
    </w:p>
    <w:p>
      <w:pPr>
        <w:spacing w:after="20" w:before="0"/>
      </w:pPr>
      <w:r>
        <w:rPr>
          <w:b w:val="0"/>
          <w:i w:val="0"/>
          <w:sz w:val="21"/>
        </w:rPr>
        <w:t>(c)  C</w:t>
      </w:r>
    </w:p>
    <w:p>
      <w:pPr>
        <w:spacing w:after="20" w:before="0"/>
      </w:pPr>
      <w:r>
        <w:rPr>
          <w:b w:val="0"/>
          <w:i w:val="0"/>
          <w:sz w:val="21"/>
        </w:rPr>
        <w:t>(d)  D</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Per the image and printed key, urine for analysis/culture in a catheterised patient should be aspirated at point ‘D’ — the designated SAMPLING PORT (needleless aspiration port) on the catheter tubing, using a sterile syringe, NEVER from the drainage bag or by disconnecting the system. This prevents contamination and keeps the closed drainage system intact.</w:t>
      </w:r>
    </w:p>
    <w:p>
      <w:pPr>
        <w:spacing w:after="20" w:before="0"/>
      </w:pPr>
      <w:r>
        <w:rPr>
          <w:b/>
        </w:rPr>
        <w:t xml:space="preserve">🔍 Key Clues: </w:t>
      </w:r>
      <w:r>
        <w:t>CAUTI urine sample: aspirate from the sampling port (point D) with a sterile syringe.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Point A is the balloon inflation port. | b — Point B is part of the tubing, not the sampling port. | c — Point C is the drainage tubing/bag junction.</w:t>
      </w:r>
    </w:p>
    <w:p>
      <w:pPr>
        <w:spacing w:after="20" w:before="0"/>
      </w:pPr>
      <w:r>
        <w:rPr>
          <w:b/>
          <w:color w:val="B45F06"/>
        </w:rPr>
        <w:t xml:space="preserve">⚠️ Exam Trap: </w:t>
      </w:r>
      <w:r>
        <w:t>Never sample from the drainage bag or break the closed system — use the sampling port.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Urine sampling in a catheterised patient: sterile aspiration from the sampling port.</w:t>
      </w:r>
    </w:p>
    <w:p>
      <w:pPr>
        <w:spacing w:after="0" w:before="0"/>
      </w:pPr>
      <w:r>
        <w:rPr>
          <w:b/>
          <w:i w:val="0"/>
          <w:sz w:val="21"/>
        </w:rPr>
        <w:t>Positive Marks: 1    Negative Marks: 0.25</w:t>
      </w:r>
    </w:p>
    <w:p>
      <w:pPr>
        <w:spacing w:before="280" w:after="40"/>
      </w:pPr>
      <w:r>
        <w:rPr>
          <w:b/>
        </w:rPr>
        <w:t xml:space="preserve">Question: </w:t>
      </w:r>
      <w:r>
        <w:t>What is the maximum weight (in kg) for which KMC (Kangaroo Mother Care) is generally recommended? (Kangaroo mother care (KMC) Neonatology-Child health Nursing)-Basic</w:t>
      </w:r>
    </w:p>
    <w:p>
      <w:pPr>
        <w:spacing w:after="20" w:before="0"/>
      </w:pPr>
      <w:r>
        <w:rPr>
          <w:b w:val="0"/>
          <w:i w:val="0"/>
          <w:sz w:val="21"/>
        </w:rPr>
        <w:t>(a)  1500 kg</w:t>
      </w:r>
    </w:p>
    <w:p>
      <w:pPr>
        <w:spacing w:after="20" w:before="0"/>
      </w:pPr>
      <w:r>
        <w:rPr>
          <w:b w:val="0"/>
          <w:i w:val="0"/>
          <w:sz w:val="21"/>
        </w:rPr>
        <w:t>(b)  2000 kg</w:t>
      </w:r>
    </w:p>
    <w:p>
      <w:pPr>
        <w:spacing w:after="20" w:before="0"/>
      </w:pPr>
      <w:r>
        <w:rPr>
          <w:b w:val="0"/>
          <w:i w:val="0"/>
          <w:sz w:val="21"/>
        </w:rPr>
        <w:t>(c)  2500 kg</w:t>
      </w:r>
    </w:p>
    <w:p>
      <w:pPr>
        <w:spacing w:after="20" w:before="0"/>
      </w:pPr>
      <w:r>
        <w:rPr>
          <w:b w:val="0"/>
          <w:i w:val="0"/>
          <w:sz w:val="21"/>
        </w:rPr>
        <w:t>(d)  3000 kg</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KMC (KANGAROO MOTHER CARE) is generally recommended for babies weighing up to 2000 g (2 kg) — stable low-birth-weight/preterm infants — with continuous skin-to-skin contact, exclusive breastfeeding and early discharge. (Options are printed as “kg”; the intended unit is grams.)</w:t>
      </w:r>
    </w:p>
    <w:p>
      <w:pPr>
        <w:spacing w:after="20" w:before="0"/>
      </w:pPr>
      <w:r>
        <w:rPr>
          <w:b/>
        </w:rPr>
        <w:t xml:space="preserve">🔍 Key Clues: </w:t>
      </w:r>
      <w:r>
        <w:t>KMC target: stable preterm/LBW babies ≤ 2000 g.</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1500 g excludes many LBW babies. | c — 2500 g is the LBW cut-off, beyond the usual KMC range. | d — 3000 g is beyond the KMC range.</w:t>
      </w:r>
    </w:p>
    <w:p>
      <w:pPr>
        <w:spacing w:after="20" w:before="0"/>
      </w:pPr>
      <w:r>
        <w:rPr>
          <w:b/>
          <w:color w:val="B45F06"/>
        </w:rPr>
        <w:t xml:space="preserve">⚠️ Exam Trap: </w:t>
      </w:r>
      <w:r>
        <w:t>KMC: up to 2000 g; LBW = &lt; 2500 g; the options print kg but mean grams.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KMC recommended up to 2000 g (stable preterm/LBW).</w:t>
      </w:r>
    </w:p>
    <w:p>
      <w:pPr>
        <w:spacing w:after="0" w:before="0"/>
      </w:pPr>
      <w:r>
        <w:rPr>
          <w:b/>
          <w:i w:val="0"/>
          <w:sz w:val="21"/>
        </w:rPr>
        <w:t>Positive Marks: 1    Negative Marks: 0.25</w:t>
      </w:r>
    </w:p>
    <w:p>
      <w:pPr>
        <w:spacing w:before="280" w:after="40"/>
      </w:pPr>
      <w:r>
        <w:rPr>
          <w:b/>
        </w:rPr>
        <w:t xml:space="preserve">Question: </w:t>
      </w:r>
      <w:r>
        <w:t>A child with nephrotic syndrome is receiving corticosteroid therapy. What should the nurse closely monitor for? (Nephrotic syndrome- Renal and genitourinary disorders -Child health nursing)-Basic</w:t>
      </w:r>
    </w:p>
    <w:p>
      <w:pPr>
        <w:spacing w:after="20" w:before="0"/>
      </w:pPr>
      <w:r>
        <w:rPr>
          <w:b w:val="0"/>
          <w:i w:val="0"/>
          <w:sz w:val="21"/>
        </w:rPr>
        <w:t>(a)  Vitamin D and calcium deficiency</w:t>
      </w:r>
    </w:p>
    <w:p>
      <w:pPr>
        <w:spacing w:after="20" w:before="0"/>
      </w:pPr>
      <w:r>
        <w:rPr>
          <w:b w:val="0"/>
          <w:i w:val="0"/>
          <w:sz w:val="21"/>
        </w:rPr>
        <w:t>(b)  Blood glucose levels and signs of infection</w:t>
      </w:r>
    </w:p>
    <w:p>
      <w:pPr>
        <w:spacing w:after="20" w:before="0"/>
      </w:pPr>
      <w:r>
        <w:rPr>
          <w:b w:val="0"/>
          <w:i w:val="0"/>
          <w:sz w:val="21"/>
        </w:rPr>
        <w:t>(c)  Signs of dehydration and electrolyte imbalance</w:t>
      </w:r>
    </w:p>
    <w:p>
      <w:pPr>
        <w:spacing w:after="20" w:before="0"/>
      </w:pPr>
      <w:r>
        <w:rPr>
          <w:b w:val="0"/>
          <w:i w:val="0"/>
          <w:sz w:val="21"/>
        </w:rPr>
        <w:t>(d)  Blood pressure and urinary tract obstruction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Corticosteroid therapy in nephrotic syndrome requires monitoring for STEROID side effects: HYPERGLYCEMIA (blood glucose) and INCREASED SUSCEPTIBILITY TO INFECTION (immunosuppression) — alongside hypertension and growth suppression. These are the two key nursing focuses among the options.</w:t>
      </w:r>
    </w:p>
    <w:p>
      <w:pPr>
        <w:spacing w:after="20" w:before="0"/>
      </w:pPr>
      <w:r>
        <w:rPr>
          <w:b/>
        </w:rPr>
        <w:t xml:space="preserve">🔍 Key Clues: </w:t>
      </w:r>
      <w:r>
        <w:t>Steroids → monitor blood glucose + infection risk (immunosuppression).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Vitamin D/calcium monitoring is for chronic steroid use but not the keyed pair. | c — Dehydration is not the steroid concern. | d — BP is monitored, but obstruction is unrelated.</w:t>
      </w:r>
    </w:p>
    <w:p>
      <w:pPr>
        <w:spacing w:after="20" w:before="0"/>
      </w:pPr>
      <w:r>
        <w:rPr>
          <w:b/>
          <w:color w:val="B45F06"/>
        </w:rPr>
        <w:t xml:space="preserve">⚠️ Exam Trap: </w:t>
      </w:r>
      <w:r>
        <w:t>Steroid monitoring: glucose, infection, BP, growth — glucose + infection is the keyed pair.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Nephrotic syndrome on steroids: monitor blood glucose and infection.</w:t>
      </w:r>
    </w:p>
    <w:p>
      <w:pPr>
        <w:spacing w:after="0" w:before="0"/>
      </w:pPr>
      <w:r>
        <w:rPr>
          <w:b/>
          <w:i w:val="0"/>
          <w:sz w:val="21"/>
        </w:rPr>
        <w:t>Positive Marks: 1    Negative Marks: 0.25</w:t>
      </w:r>
    </w:p>
    <w:p>
      <w:pPr>
        <w:spacing w:before="280" w:after="40"/>
      </w:pPr>
      <w:r>
        <w:rPr>
          <w:b/>
        </w:rPr>
        <w:t xml:space="preserve">Question: </w:t>
      </w:r>
      <w:r>
        <w:t>How many diseases are prevented by the vaccines included in the National Immunization Schedule (NIS) in India? (Immunization and vaccination-Healthy child-Pediatric Nursing)-Basic</w:t>
      </w:r>
    </w:p>
    <w:p>
      <w:pPr>
        <w:spacing w:after="20" w:before="0"/>
      </w:pPr>
      <w:r>
        <w:rPr>
          <w:b w:val="0"/>
          <w:i w:val="0"/>
          <w:sz w:val="21"/>
        </w:rPr>
        <w:t>(a)  8</w:t>
      </w:r>
    </w:p>
    <w:p>
      <w:pPr>
        <w:spacing w:after="20" w:before="0"/>
      </w:pPr>
      <w:r>
        <w:rPr>
          <w:b w:val="0"/>
          <w:i w:val="0"/>
          <w:sz w:val="21"/>
        </w:rPr>
        <w:t>(b)  10</w:t>
      </w:r>
    </w:p>
    <w:p>
      <w:pPr>
        <w:spacing w:after="20" w:before="0"/>
      </w:pPr>
      <w:r>
        <w:rPr>
          <w:b w:val="0"/>
          <w:i w:val="0"/>
          <w:sz w:val="21"/>
        </w:rPr>
        <w:t>(c)  12</w:t>
      </w:r>
    </w:p>
    <w:p>
      <w:pPr>
        <w:spacing w:after="20" w:before="0"/>
      </w:pPr>
      <w:r>
        <w:rPr>
          <w:b w:val="0"/>
          <w:i w:val="0"/>
          <w:sz w:val="21"/>
        </w:rPr>
        <w:t>(d)  14</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India’s National Immunization Schedule (UIP/NIS) vaccines protect against about TWELVE diseases: tuberculosis (BCG), polio, diphtheria, pertussis, tetanus, hepatitis B, Hib, rotavirus, measles, rubella, Japanese encephalitis and pneumococcal disease (PCV).</w:t>
      </w:r>
    </w:p>
    <w:p>
      <w:pPr>
        <w:spacing w:after="20" w:before="0"/>
      </w:pPr>
      <w:r>
        <w:rPr>
          <w:b/>
        </w:rPr>
        <w:t xml:space="preserve">🔍 Key Clues: </w:t>
      </w:r>
      <w:r>
        <w:t>UIP prevents ~12 diseases: TB, polio, DPT, HepB, Hib, rotavirus, measles, rubella, JE, PCV.</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8 undercounts the UIP target diseases. | b — 10 undercounts. | d — 14 overcounts.</w:t>
      </w:r>
    </w:p>
    <w:p>
      <w:pPr>
        <w:spacing w:after="20" w:before="0"/>
      </w:pPr>
      <w:r>
        <w:rPr>
          <w:b/>
          <w:color w:val="B45F06"/>
        </w:rPr>
        <w:t xml:space="preserve">⚠️ Exam Trap: </w:t>
      </w:r>
      <w:r>
        <w:t>Count the UIP antigens: BCG+OPV+DPT+HepB+Hib+rotavirus+MR+JE+PCV = 12 diseases.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India’s NIS prevents ~12 vaccine-preventable diseases.</w:t>
      </w:r>
    </w:p>
    <w:p>
      <w:pPr>
        <w:spacing w:after="0" w:before="0"/>
      </w:pPr>
      <w:r>
        <w:rPr>
          <w:b/>
          <w:i w:val="0"/>
          <w:sz w:val="21"/>
        </w:rPr>
        <w:t>Positive Marks: 1    Negative Marks: 0.25</w:t>
      </w:r>
    </w:p>
    <w:p>
      <w:pPr>
        <w:spacing w:before="280" w:after="40"/>
      </w:pPr>
      <w:r>
        <w:rPr>
          <w:b/>
        </w:rPr>
        <w:t xml:space="preserve">Question: </w:t>
      </w:r>
      <w:r>
        <w:t>Which type of rash is characteristically seen in measles? (Communicable diseases in children- Other infections and communicable diseases in children –Child health Nursing)-Basic</w:t>
      </w:r>
    </w:p>
    <w:p>
      <w:pPr>
        <w:spacing w:after="20" w:before="0"/>
      </w:pPr>
      <w:r>
        <w:rPr>
          <w:b w:val="0"/>
          <w:i w:val="0"/>
          <w:sz w:val="21"/>
        </w:rPr>
        <w:t>(a)  Pleomorphic rash</w:t>
      </w:r>
    </w:p>
    <w:p>
      <w:pPr>
        <w:spacing w:after="20" w:before="0"/>
      </w:pPr>
      <w:r>
        <w:rPr>
          <w:b w:val="0"/>
          <w:i w:val="0"/>
          <w:sz w:val="21"/>
        </w:rPr>
        <w:t>(b)  Maculopapular rash</w:t>
      </w:r>
    </w:p>
    <w:p>
      <w:pPr>
        <w:spacing w:after="20" w:before="0"/>
      </w:pPr>
      <w:r>
        <w:rPr>
          <w:b w:val="0"/>
          <w:i w:val="0"/>
          <w:sz w:val="21"/>
        </w:rPr>
        <w:t>(c)  Vesicular rash</w:t>
      </w:r>
    </w:p>
    <w:p>
      <w:pPr>
        <w:spacing w:after="20" w:before="0"/>
      </w:pPr>
      <w:r>
        <w:rPr>
          <w:b w:val="0"/>
          <w:i w:val="0"/>
          <w:sz w:val="21"/>
        </w:rPr>
        <w:t>(d)  Bullous rash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MEASLES produces a MACULOPAPULAR RASH — erythematous macules and papules that begin behind the ears and on the face and spread downward (centrifugal), becoming confluent; it follows Koplik’s spots in the mouth. Vesicular rash = chickenpox; pleomorphic = the exam’s own descriptor for measles in Q44 but the standard term is maculopapular.</w:t>
      </w:r>
    </w:p>
    <w:p>
      <w:pPr>
        <w:spacing w:after="20" w:before="0"/>
      </w:pPr>
      <w:r>
        <w:rPr>
          <w:b/>
        </w:rPr>
        <w:t xml:space="preserve">🔍 Key Clues: </w:t>
      </w:r>
      <w:r>
        <w:t>Measles rash: maculopapular, starts behind the ears/face, spreads downward.</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Pleomorphic is a loose descriptor; the classic term is maculopapular. | c — Vesicular rash = chickenpox/herpes. | d — Bullous rash = blisters (impetigo bullosa).</w:t>
      </w:r>
    </w:p>
    <w:p>
      <w:pPr>
        <w:spacing w:after="20" w:before="0"/>
      </w:pPr>
      <w:r>
        <w:rPr>
          <w:b/>
          <w:color w:val="B45F06"/>
        </w:rPr>
        <w:t xml:space="preserve">⚠️ Exam Trap: </w:t>
      </w:r>
      <w:r>
        <w:t>Measles = maculopapular (centrifugal spread); chickenpox = vesicular (centripetal).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Measles: maculopapular rash, face → trunk → limbs.</w:t>
      </w:r>
    </w:p>
    <w:p>
      <w:pPr>
        <w:spacing w:after="0" w:before="0"/>
      </w:pPr>
      <w:r>
        <w:rPr>
          <w:b/>
          <w:i w:val="0"/>
          <w:sz w:val="21"/>
        </w:rPr>
        <w:t>Positive Marks: 1    Negative Marks: 0.25</w:t>
      </w:r>
    </w:p>
    <w:p>
      <w:pPr>
        <w:spacing w:before="280" w:after="40"/>
      </w:pPr>
      <w:r>
        <w:rPr>
          <w:b/>
        </w:rPr>
        <w:t xml:space="preserve">Question: </w:t>
      </w:r>
      <w:r>
        <w:t>What type of rash distribution is typically seen in chickenpox (varicella)? (Communicable diseases in children- Other infections and communicable diseases in children –Child health Nursing)-Basic</w:t>
      </w:r>
    </w:p>
    <w:p>
      <w:pPr>
        <w:spacing w:after="20" w:before="0"/>
      </w:pPr>
      <w:r>
        <w:rPr>
          <w:b w:val="0"/>
          <w:i w:val="0"/>
          <w:sz w:val="21"/>
        </w:rPr>
        <w:t>(a)  Centrifugal rash</w:t>
      </w:r>
    </w:p>
    <w:p>
      <w:pPr>
        <w:spacing w:after="20" w:before="0"/>
      </w:pPr>
      <w:r>
        <w:rPr>
          <w:b w:val="0"/>
          <w:i w:val="0"/>
          <w:sz w:val="21"/>
        </w:rPr>
        <w:t>(b)  Maculopapular rash</w:t>
      </w:r>
    </w:p>
    <w:p>
      <w:pPr>
        <w:spacing w:after="20" w:before="0"/>
      </w:pPr>
      <w:r>
        <w:rPr>
          <w:b w:val="0"/>
          <w:i w:val="0"/>
          <w:sz w:val="21"/>
        </w:rPr>
        <w:t>(c)  Centripetal rash</w:t>
      </w:r>
    </w:p>
    <w:p>
      <w:pPr>
        <w:spacing w:after="20" w:before="0"/>
      </w:pPr>
      <w:r>
        <w:rPr>
          <w:b w:val="0"/>
          <w:i w:val="0"/>
          <w:sz w:val="21"/>
        </w:rPr>
        <w:t>(d)  Erythema migrans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CHICKENPOX (varicella) has a CENTRIPETAL distribution — the vesicular rash is most dense on the TRUNK (and face), sparing the extremities, appearing in crops of all stages. MEASLES is centrifugal (face/trunk to extremities); erythema migrans is the Lyme disease target rash.</w:t>
      </w:r>
    </w:p>
    <w:p>
      <w:pPr>
        <w:spacing w:after="20" w:before="0"/>
      </w:pPr>
      <w:r>
        <w:rPr>
          <w:b/>
        </w:rPr>
        <w:t xml:space="preserve">🔍 Key Clues: </w:t>
      </w:r>
      <w:r>
        <w:t>Chickenpox = centripetal (trunk-predominant); measles = centrifugal (spreads outward).</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a — Centrifugal is the measles pattern. | b — Maculopapular describes measles morphology. | d — Erythema migrans = Lyme disease.</w:t>
      </w:r>
    </w:p>
    <w:p>
      <w:pPr>
        <w:spacing w:after="20" w:before="0"/>
      </w:pPr>
      <w:r>
        <w:rPr>
          <w:b/>
          <w:color w:val="B45F06"/>
        </w:rPr>
        <w:t xml:space="preserve">⚠️ Exam Trap: </w:t>
      </w:r>
      <w:r>
        <w:t>Centripetal (chickenpox, trunk) vs centrifugal (measles, outward) — the classic swap.</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Chickenpox: centripetal vesicular rash (trunk-predominant).</w:t>
      </w:r>
    </w:p>
    <w:p>
      <w:pPr>
        <w:spacing w:after="0" w:before="0"/>
      </w:pPr>
      <w:r>
        <w:rPr>
          <w:b/>
          <w:i w:val="0"/>
          <w:sz w:val="21"/>
        </w:rPr>
        <w:t>Positive Marks: 1    Negative Marks: 0.25</w:t>
      </w:r>
    </w:p>
    <w:p>
      <w:pPr>
        <w:spacing w:before="280" w:after="40"/>
      </w:pPr>
      <w:r>
        <w:rPr>
          <w:b/>
        </w:rPr>
        <w:t xml:space="preserve">Question: </w:t>
      </w:r>
      <w:r>
        <w:t>According to the IMNCI (Integrated Management of Neonatal and Childhood Illness) guidelines, what concentration of gentian violet solution is recommended for oral care in a child with oral thrush (candidiasis)? (IMNCI Outpatient management- IMNCI (Integrated Management of Neonatal and Childhood Illness) –Child health Nursing)-Basic</w:t>
      </w:r>
    </w:p>
    <w:p>
      <w:pPr>
        <w:spacing w:after="20" w:before="0"/>
      </w:pPr>
      <w:r>
        <w:rPr>
          <w:b w:val="0"/>
          <w:i w:val="0"/>
          <w:sz w:val="21"/>
        </w:rPr>
        <w:t>(a)  0.25% gentian violet solution</w:t>
      </w:r>
    </w:p>
    <w:p>
      <w:pPr>
        <w:spacing w:after="20" w:before="0"/>
      </w:pPr>
      <w:r>
        <w:rPr>
          <w:b w:val="0"/>
          <w:i w:val="0"/>
          <w:sz w:val="21"/>
        </w:rPr>
        <w:t>(b)  0.5% gentian violet solution</w:t>
      </w:r>
    </w:p>
    <w:p>
      <w:pPr>
        <w:spacing w:after="20" w:before="0"/>
      </w:pPr>
      <w:r>
        <w:rPr>
          <w:b w:val="0"/>
          <w:i w:val="0"/>
          <w:sz w:val="21"/>
        </w:rPr>
        <w:t>(c)  1% gentian violet solution</w:t>
      </w:r>
    </w:p>
    <w:p>
      <w:pPr>
        <w:spacing w:after="20" w:before="0"/>
      </w:pPr>
      <w:r>
        <w:rPr>
          <w:b w:val="0"/>
          <w:i w:val="0"/>
          <w:sz w:val="21"/>
        </w:rPr>
        <w:t>(d)  2% gentian violet solution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WHO IMNCI guidelines recommend 0.25% GENTIAN VIOLET SOLUTION for oral care in children with ORAL THRUSH (candidiasis) — applied to the inside of the mouth after feeds; it is effective against candida while minimising mucosal irritation. Higher concentrations (0.5%, 1%, 2%) are more irritating.</w:t>
      </w:r>
    </w:p>
    <w:p>
      <w:pPr>
        <w:spacing w:after="20" w:before="0"/>
      </w:pPr>
      <w:r>
        <w:rPr>
          <w:b/>
        </w:rPr>
        <w:t xml:space="preserve">🔍 Key Clues: </w:t>
      </w:r>
      <w:r>
        <w:t>IMNCI thrush: 0.25% gentian violet applied to the oral cavity after feeds.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0.5% is higher than the recommended concentration. | c — 1% is too strong for oral mucosa. | d — 2% is far too strong.</w:t>
      </w:r>
    </w:p>
    <w:p>
      <w:pPr>
        <w:spacing w:after="20" w:before="0"/>
      </w:pPr>
      <w:r>
        <w:rPr>
          <w:b/>
          <w:color w:val="B45F06"/>
        </w:rPr>
        <w:t xml:space="preserve">⚠️ Exam Trap: </w:t>
      </w:r>
      <w:r>
        <w:t>IMNCI anchors 0.25% — don’t confuse with the stronger dermatological concentrations.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IMNCI oral thrush: 0.25% gentian violet.</w:t>
      </w:r>
    </w:p>
    <w:p>
      <w:pPr>
        <w:spacing w:after="20" w:before="0"/>
      </w:pPr>
      <w:r>
        <w:rPr>
          <w:b/>
          <w:color w:val="B45F06"/>
        </w:rPr>
        <w:t xml:space="preserve">📌 Note: </w:t>
      </w:r>
      <w:r>
        <w:t>The printed key lists (b) 0.5%, but the WHO IMNCI guidelines recommend 0.25% gentian violet for oral thrush (confirmed by the NORCET 8 Prelims answer references) — answer corrected to (a).</w:t>
      </w:r>
    </w:p>
    <w:p>
      <w:pPr>
        <w:spacing w:after="0" w:before="0"/>
      </w:pPr>
      <w:r>
        <w:rPr>
          <w:b/>
          <w:i w:val="0"/>
          <w:sz w:val="21"/>
        </w:rPr>
        <w:t>Positive Marks: 1    Negative Marks: 0.25</w:t>
      </w:r>
    </w:p>
    <w:p>
      <w:pPr>
        <w:spacing w:before="280" w:after="40"/>
      </w:pPr>
      <w:r>
        <w:rPr>
          <w:b/>
        </w:rPr>
        <w:t xml:space="preserve">Question: </w:t>
      </w:r>
      <w:r>
        <w:t>A child is diagnosed with pyloric stenosis and is experiencing persistent projectile vomiting. What acid-base imbalance is most likely to occur in this condition? (Fluid and electrolyte disturbances - Fluid and electrolyte imbalances -Child health nursing)-Basic</w:t>
      </w:r>
    </w:p>
    <w:p>
      <w:pPr>
        <w:spacing w:after="20" w:before="0"/>
      </w:pPr>
      <w:r>
        <w:rPr>
          <w:b w:val="0"/>
          <w:i w:val="0"/>
          <w:sz w:val="21"/>
        </w:rPr>
        <w:t>(a)  Metabolic acidosis</w:t>
      </w:r>
    </w:p>
    <w:p>
      <w:pPr>
        <w:spacing w:after="20" w:before="0"/>
      </w:pPr>
      <w:r>
        <w:rPr>
          <w:b w:val="0"/>
          <w:i w:val="0"/>
          <w:sz w:val="21"/>
        </w:rPr>
        <w:t>(b)  Respiratory alkalosis</w:t>
      </w:r>
    </w:p>
    <w:p>
      <w:pPr>
        <w:spacing w:after="20" w:before="0"/>
      </w:pPr>
      <w:r>
        <w:rPr>
          <w:b w:val="0"/>
          <w:i w:val="0"/>
          <w:sz w:val="21"/>
        </w:rPr>
        <w:t>(c)  Metabolic alkalosis</w:t>
      </w:r>
    </w:p>
    <w:p>
      <w:pPr>
        <w:spacing w:after="20" w:before="0"/>
      </w:pPr>
      <w:r>
        <w:rPr>
          <w:b w:val="0"/>
          <w:i w:val="0"/>
          <w:sz w:val="21"/>
        </w:rPr>
        <w:t>(d)  Respiratory acidosis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PERSISTENT PROJECTILE VOMITING in pyloric stenosis causes loss of gastric acid (H+ and chloride) → METABOLIC ALKALOSIS with hypochloremia and hypokalemia (the classic “hypochloremic, hypokalemic metabolic alkalosis” of HPS). Diarrhoea causes metabolic acidosis; respiratory disorders are ventilatory.</w:t>
      </w:r>
    </w:p>
    <w:p>
      <w:pPr>
        <w:spacing w:after="20" w:before="0"/>
      </w:pPr>
      <w:r>
        <w:rPr>
          <w:b/>
        </w:rPr>
        <w:t xml:space="preserve">🔍 Key Clues: </w:t>
      </w:r>
      <w:r>
        <w:t>Vomiting (loss of H+) = metabolic alkalosis + hypochloremia + hypokalemia.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Metabolic acidosis follows bicarbonate loss (diarrhoea). | b — Respiratory alkalosis = hyperventilation. | d — Respiratory acidosis = CO2 retention.</w:t>
      </w:r>
    </w:p>
    <w:p>
      <w:pPr>
        <w:spacing w:after="20" w:before="0"/>
      </w:pPr>
      <w:r>
        <w:rPr>
          <w:b/>
          <w:color w:val="B45F06"/>
        </w:rPr>
        <w:t xml:space="preserve">⚠️ Exam Trap: </w:t>
      </w:r>
      <w:r>
        <w:t>Loss of gastric acid (vomiting/NG suction) = alkalosis; loss of bicarbonate (diarrhoea) = acidosis.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Pyloric stenosis vomiting → metabolic alkalosis.</w:t>
      </w:r>
    </w:p>
    <w:p>
      <w:pPr>
        <w:spacing w:after="0" w:before="0"/>
      </w:pPr>
      <w:r>
        <w:rPr>
          <w:b/>
          <w:i w:val="0"/>
          <w:sz w:val="21"/>
        </w:rPr>
        <w:t>Positive Marks: 1    Negative Marks: 0.25</w:t>
      </w:r>
    </w:p>
    <w:p>
      <w:pPr>
        <w:spacing w:before="280" w:after="40"/>
      </w:pPr>
      <w:r>
        <w:rPr>
          <w:b/>
        </w:rPr>
        <w:t xml:space="preserve">Question: </w:t>
      </w:r>
      <w:r>
        <w:t>Which of the following is a common complication of measles in children? (Communicable diseases in children- Other infections and communicable diseases in children –Child health Nursing)-Moderate</w:t>
      </w:r>
    </w:p>
    <w:p>
      <w:pPr>
        <w:spacing w:after="20" w:before="0"/>
      </w:pPr>
      <w:r>
        <w:rPr>
          <w:b w:val="0"/>
          <w:i w:val="0"/>
          <w:sz w:val="21"/>
        </w:rPr>
        <w:t>(a)  Otitis media, pneumonia, and meningitis</w:t>
      </w:r>
    </w:p>
    <w:p>
      <w:pPr>
        <w:spacing w:after="20" w:before="0"/>
      </w:pPr>
      <w:r>
        <w:rPr>
          <w:b w:val="0"/>
          <w:i w:val="0"/>
          <w:sz w:val="21"/>
        </w:rPr>
        <w:t>(b)  Diarrhea, appendicitis, and renal failure</w:t>
      </w:r>
    </w:p>
    <w:p>
      <w:pPr>
        <w:spacing w:after="20" w:before="0"/>
      </w:pPr>
      <w:r>
        <w:rPr>
          <w:b w:val="0"/>
          <w:i w:val="0"/>
          <w:sz w:val="21"/>
        </w:rPr>
        <w:t>(c)  Heart failure, stroke, and hyperthyroidism</w:t>
      </w:r>
    </w:p>
    <w:p>
      <w:pPr>
        <w:spacing w:after="20" w:before="0"/>
      </w:pPr>
      <w:r>
        <w:rPr>
          <w:b w:val="0"/>
          <w:i w:val="0"/>
          <w:sz w:val="21"/>
        </w:rPr>
        <w:t>(d)  Diabetes, asthma, and peptic ulcer disease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Measles complications in children include OTITIS MEDIA (most common), PNEUMONIA (the leading cause of death), and MENINGITIS/encephalitis — plus diarrhoea, laryngotracheobronchitis (croup) and SSPE as a late neurological complication.</w:t>
      </w:r>
    </w:p>
    <w:p>
      <w:pPr>
        <w:spacing w:after="20" w:before="0"/>
      </w:pPr>
      <w:r>
        <w:rPr>
          <w:b/>
        </w:rPr>
        <w:t xml:space="preserve">🔍 Key Clues: </w:t>
      </w:r>
      <w:r>
        <w:t>Measles complications: otitis media, pneumonia, encephalitis/meningitis, diarrhoea.</w:t>
      </w:r>
    </w:p>
    <w:p>
      <w:pPr>
        <w:spacing w:after="20" w:before="0"/>
      </w:pPr>
      <w:r>
        <w:rPr>
          <w:b/>
        </w:rPr>
        <w:t xml:space="preserve">🚨 Priority Principle: </w:t>
      </w:r>
      <w:r>
        <w:t>Prevention and asepsis first — safe handling and precautions protect both the patient and the caregiver.</w:t>
      </w:r>
    </w:p>
    <w:p>
      <w:pPr>
        <w:spacing w:after="20" w:before="0"/>
      </w:pPr>
      <w:r>
        <w:rPr>
          <w:b/>
        </w:rPr>
        <w:t xml:space="preserve">❌ Why Not Other Options: </w:t>
      </w:r>
      <w:r>
        <w:t>b — Appendicitis/renal failure are not measles complications. | c — Heart failure/stroke are not typical. | d — Diabetes/asthma are unrelated.</w:t>
      </w:r>
    </w:p>
    <w:p>
      <w:pPr>
        <w:spacing w:after="20" w:before="0"/>
      </w:pPr>
      <w:r>
        <w:rPr>
          <w:b/>
          <w:color w:val="B45F06"/>
        </w:rPr>
        <w:t xml:space="preserve">⚠️ Exam Trap: </w:t>
      </w:r>
      <w:r>
        <w:t>Pneumonia = the deadly measles complication; otitis media = the most common.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Measles complications: otitis media, pneumonia, encephalitis.</w:t>
      </w:r>
    </w:p>
    <w:p>
      <w:pPr>
        <w:spacing w:after="0" w:before="0"/>
      </w:pPr>
      <w:r>
        <w:rPr>
          <w:b/>
          <w:i w:val="0"/>
          <w:sz w:val="21"/>
        </w:rPr>
        <w:t>Positive Marks: 1    Negative Marks: 0.25</w:t>
      </w:r>
    </w:p>
    <w:p>
      <w:pPr>
        <w:spacing w:before="280" w:after="40"/>
      </w:pPr>
      <w:r>
        <w:rPr>
          <w:b/>
        </w:rPr>
        <w:t xml:space="preserve">Question: </w:t>
      </w:r>
      <w:r>
        <w:t>The given growth chart shows a child’s height plotted against age, and the measurement falls below the -2 standard deviation (SD) line. What does this indicate? (Growth and development assessment-Healthy child-Child health nursing)-Basic</w:t>
      </w:r>
    </w:p>
    <w:p>
      <w:pPr>
        <w:spacing w:after="40" w:before="0"/>
      </w:pPr>
      <w:r>
        <w:rPr>
          <w:b w:val="0"/>
          <w:i/>
          <w:color w:val="B45F06"/>
          <w:sz w:val="20"/>
        </w:rPr>
        <w:t>[ IMAGE: N8-Q73 — image in the Image Bank, to be inserted ]</w:t>
      </w:r>
    </w:p>
    <w:p>
      <w:pPr>
        <w:spacing w:after="20" w:before="0"/>
      </w:pPr>
      <w:r>
        <w:rPr>
          <w:b w:val="0"/>
          <w:i w:val="0"/>
          <w:sz w:val="21"/>
        </w:rPr>
        <w:t>(a)  Wasting</w:t>
      </w:r>
    </w:p>
    <w:p>
      <w:pPr>
        <w:spacing w:after="20" w:before="0"/>
      </w:pPr>
      <w:r>
        <w:rPr>
          <w:b w:val="0"/>
          <w:i w:val="0"/>
          <w:sz w:val="21"/>
        </w:rPr>
        <w:t>(b)  Stunting</w:t>
      </w:r>
    </w:p>
    <w:p>
      <w:pPr>
        <w:spacing w:after="20" w:before="0"/>
      </w:pPr>
      <w:r>
        <w:rPr>
          <w:b w:val="0"/>
          <w:i w:val="0"/>
          <w:sz w:val="21"/>
        </w:rPr>
        <w:t>(c)  Underweight</w:t>
      </w:r>
    </w:p>
    <w:p>
      <w:pPr>
        <w:spacing w:after="20" w:before="0"/>
      </w:pPr>
      <w:r>
        <w:rPr>
          <w:b w:val="0"/>
          <w:i w:val="0"/>
          <w:sz w:val="21"/>
        </w:rPr>
        <w:t>(d)  Obesity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Height-for-age below -2 SD on the growth chart indicates STUNTING — chronic malnutrition reflected in linear growth failure. WASTING is low weight-for-height (acute malnutrition); UNDERWEIGHT is low weight-for-age; obesity is high BMI.</w:t>
      </w:r>
    </w:p>
    <w:p>
      <w:pPr>
        <w:spacing w:after="20" w:before="0"/>
      </w:pPr>
      <w:r>
        <w:rPr>
          <w:b/>
        </w:rPr>
        <w:t xml:space="preserve">🔍 Key Clues: </w:t>
      </w:r>
      <w:r>
        <w:t>Height-for-age &lt; -2 SD = stunting (chronic malnutrition).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Wasting = low weight-for-height (acute). | c — Underweight = low weight-for-age. | d — Obesity = excess weight.</w:t>
      </w:r>
    </w:p>
    <w:p>
      <w:pPr>
        <w:spacing w:after="20" w:before="0"/>
      </w:pPr>
      <w:r>
        <w:rPr>
          <w:b/>
          <w:color w:val="B45F06"/>
        </w:rPr>
        <w:t xml:space="preserve">⚠️ Exam Trap: </w:t>
      </w:r>
      <w:r>
        <w:t>Height/age = stunting (chronic); weight/height = wasting (acute); weight/age = underweight.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Height-for-age &lt; -2 SD = stunting.</w:t>
      </w:r>
    </w:p>
    <w:p>
      <w:pPr>
        <w:spacing w:after="0" w:before="0"/>
      </w:pPr>
      <w:r>
        <w:rPr>
          <w:b/>
          <w:i w:val="0"/>
          <w:sz w:val="21"/>
        </w:rPr>
        <w:t>Positive Marks: 1    Negative Marks: 0.25</w:t>
      </w:r>
    </w:p>
    <w:p>
      <w:pPr>
        <w:spacing w:before="280" w:after="40"/>
      </w:pPr>
      <w:r>
        <w:rPr>
          <w:b/>
        </w:rPr>
        <w:t xml:space="preserve">Question: </w:t>
      </w:r>
      <w:r>
        <w:t>The given image shows a newborn with severe limb malformations (shortened or absent long bones with hands attached close to the shoulders). Based on the deformity shown, which drug exposure during pregnancy is most likely responsible? (Other neonatal disorders-Neonatology-Child health nursing)-Basic</w:t>
      </w:r>
    </w:p>
    <w:p>
      <w:pPr>
        <w:spacing w:after="40" w:before="0"/>
      </w:pPr>
      <w:r>
        <w:rPr>
          <w:b w:val="0"/>
          <w:i/>
          <w:color w:val="B45F06"/>
          <w:sz w:val="20"/>
        </w:rPr>
        <w:t>[ IMAGE: N8-Q74 — image in the Image Bank, to be inserted ]</w:t>
      </w:r>
    </w:p>
    <w:p>
      <w:pPr>
        <w:spacing w:after="20" w:before="0"/>
      </w:pPr>
      <w:r>
        <w:rPr>
          <w:b w:val="0"/>
          <w:i w:val="0"/>
          <w:sz w:val="21"/>
        </w:rPr>
        <w:t>(a)  Isotretinoin</w:t>
      </w:r>
    </w:p>
    <w:p>
      <w:pPr>
        <w:spacing w:after="20" w:before="0"/>
      </w:pPr>
      <w:r>
        <w:rPr>
          <w:b w:val="0"/>
          <w:i w:val="0"/>
          <w:sz w:val="21"/>
        </w:rPr>
        <w:t>(b)  Thalidomide</w:t>
      </w:r>
    </w:p>
    <w:p>
      <w:pPr>
        <w:spacing w:after="20" w:before="0"/>
      </w:pPr>
      <w:r>
        <w:rPr>
          <w:b w:val="0"/>
          <w:i w:val="0"/>
          <w:sz w:val="21"/>
        </w:rPr>
        <w:t>(c)  Phenytoin</w:t>
      </w:r>
    </w:p>
    <w:p>
      <w:pPr>
        <w:spacing w:after="20" w:before="0"/>
      </w:pPr>
      <w:r>
        <w:rPr>
          <w:b w:val="0"/>
          <w:i w:val="0"/>
          <w:sz w:val="21"/>
        </w:rPr>
        <w:t>(d)  Warfarin</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limb malformation shown — shortened/absent long bones with flipper-like hands attached near the shoulders (PHOCOMELIA) — is the classic teratogenic effect of THALIDOMIDE, taken in the first trimester (the 1960s thalidomide disaster). Isotretinoin causes CNS/cardiac/ear defects; phenytoin causes fetal hydantoin syndrome; warfarin causes chondrodysplasia punctata.</w:t>
      </w:r>
    </w:p>
    <w:p>
      <w:pPr>
        <w:spacing w:after="20" w:before="0"/>
      </w:pPr>
      <w:r>
        <w:rPr>
          <w:b/>
        </w:rPr>
        <w:t xml:space="preserve">🔍 Key Clues: </w:t>
      </w:r>
      <w:r>
        <w:t>Phocomelia (flipper limbs) = thalidomide embryopathy.</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Isotretinoin = CNS/craniofacial/cardiac defects. | c — Phenytoin = fetal hydantoin syndrome. | d — Warfarin = fetal warfarin syndrome.</w:t>
      </w:r>
    </w:p>
    <w:p>
      <w:pPr>
        <w:spacing w:after="20" w:before="0"/>
      </w:pPr>
      <w:r>
        <w:rPr>
          <w:b/>
          <w:color w:val="B45F06"/>
        </w:rPr>
        <w:t xml:space="preserve">⚠️ Exam Trap: </w:t>
      </w:r>
      <w:r>
        <w:t>Phocomelia = thalidomide — the single best-known teratogen-limb association.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Phocomelia (flipper limbs) = thalidomide exposure.</w:t>
      </w:r>
    </w:p>
    <w:p>
      <w:pPr>
        <w:spacing w:after="0" w:before="0"/>
      </w:pPr>
      <w:r>
        <w:rPr>
          <w:b/>
          <w:i w:val="0"/>
          <w:sz w:val="21"/>
        </w:rPr>
        <w:t>Positive Marks: 1    Negative Marks: 0.25</w:t>
      </w:r>
    </w:p>
    <w:p>
      <w:pPr>
        <w:spacing w:before="280" w:after="40"/>
      </w:pPr>
      <w:r>
        <w:rPr>
          <w:b/>
        </w:rPr>
        <w:t xml:space="preserve">Question: </w:t>
      </w:r>
      <w:r>
        <w:t>4D’s symptoms are seen in which condition?</w:t>
      </w:r>
    </w:p>
    <w:p>
      <w:pPr>
        <w:spacing w:after="20" w:before="0"/>
      </w:pPr>
      <w:r>
        <w:rPr>
          <w:b w:val="0"/>
          <w:i w:val="0"/>
          <w:sz w:val="21"/>
        </w:rPr>
        <w:t>(a)  Pellagra</w:t>
      </w:r>
    </w:p>
    <w:p>
      <w:pPr>
        <w:spacing w:after="20" w:before="0"/>
      </w:pPr>
      <w:r>
        <w:rPr>
          <w:b w:val="0"/>
          <w:i w:val="0"/>
          <w:sz w:val="21"/>
        </w:rPr>
        <w:t>(b)  Beriberi</w:t>
      </w:r>
    </w:p>
    <w:p>
      <w:pPr>
        <w:spacing w:after="20" w:before="0"/>
      </w:pPr>
      <w:r>
        <w:rPr>
          <w:b w:val="0"/>
          <w:i w:val="0"/>
          <w:sz w:val="21"/>
        </w:rPr>
        <w:t>(c)  Pernicious anemia</w:t>
      </w:r>
    </w:p>
    <w:p>
      <w:pPr>
        <w:spacing w:after="20" w:before="0"/>
      </w:pPr>
      <w:r>
        <w:rPr>
          <w:b w:val="0"/>
          <w:i w:val="0"/>
          <w:sz w:val="21"/>
        </w:rPr>
        <w:t>(d)  Folate deficiency anemia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4D’s — DERMATITIS, DIARRHEA, DEMENTIA and DEATH — are the classic features of PELLAGRA, caused by NIACIN (vitamin B3) deficiency. Beriberi = thiamine deficiency (cardiac/neurological); pernicious anaemia = B12; folate deficiency = megaloblastic anaemia.</w:t>
      </w:r>
    </w:p>
    <w:p>
      <w:pPr>
        <w:spacing w:after="20" w:before="0"/>
      </w:pPr>
      <w:r>
        <w:rPr>
          <w:b/>
        </w:rPr>
        <w:t xml:space="preserve">🔍 Key Clues: </w:t>
      </w:r>
      <w:r>
        <w:t>4D’s of pellagra: dermatitis, diarrhoea, dementia, death.</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Beriberi = thiamine (wet/dry). | c — Pernicious anaemia = B12 deficiency. | d — Folate deficiency = megaloblastic anaemia.</w:t>
      </w:r>
    </w:p>
    <w:p>
      <w:pPr>
        <w:spacing w:after="20" w:before="0"/>
      </w:pPr>
      <w:r>
        <w:rPr>
          <w:b/>
          <w:color w:val="B45F06"/>
        </w:rPr>
        <w:t xml:space="preserve">⚠️ Exam Trap: </w:t>
      </w:r>
      <w:r>
        <w:t>4D’s = pellagra (niacin); 3 D’s of scurvy = bleeding gums, poor healing, petechiae.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Pellagra: dermatitis, diarrhoea, dementia, death (niacin deficiency).</w:t>
      </w:r>
    </w:p>
    <w:p>
      <w:pPr>
        <w:spacing w:after="0" w:before="0"/>
      </w:pPr>
      <w:r>
        <w:rPr>
          <w:b/>
          <w:i w:val="0"/>
          <w:sz w:val="21"/>
        </w:rPr>
        <w:t>Positive Marks: 1    Negative Marks: 0.25</w:t>
      </w:r>
    </w:p>
    <w:p>
      <w:pPr>
        <w:spacing w:before="280" w:after="40"/>
      </w:pPr>
      <w:r>
        <w:rPr>
          <w:b/>
        </w:rPr>
        <w:t xml:space="preserve">Question: </w:t>
      </w:r>
      <w:r>
        <w:t>Which instrument is shown in the below given image?</w:t>
      </w:r>
    </w:p>
    <w:p>
      <w:pPr>
        <w:spacing w:after="40" w:before="0"/>
      </w:pPr>
      <w:r>
        <w:rPr>
          <w:b w:val="0"/>
          <w:i/>
          <w:color w:val="B45F06"/>
          <w:sz w:val="20"/>
        </w:rPr>
        <w:t>[ IMAGE: N8-Q76 — image in the Image Bank, to be inserted ]</w:t>
      </w:r>
    </w:p>
    <w:p>
      <w:pPr>
        <w:spacing w:after="20" w:before="0"/>
      </w:pPr>
      <w:r>
        <w:rPr>
          <w:b w:val="0"/>
          <w:i w:val="0"/>
          <w:sz w:val="21"/>
        </w:rPr>
        <w:t>(a)  Ellick evacuator</w:t>
      </w:r>
    </w:p>
    <w:p>
      <w:pPr>
        <w:spacing w:after="20" w:before="0"/>
      </w:pPr>
      <w:r>
        <w:rPr>
          <w:b w:val="0"/>
          <w:i w:val="0"/>
          <w:sz w:val="21"/>
        </w:rPr>
        <w:t>(b)  Toomey’s syringe</w:t>
      </w:r>
    </w:p>
    <w:p>
      <w:pPr>
        <w:spacing w:after="20" w:before="0"/>
      </w:pPr>
      <w:r>
        <w:rPr>
          <w:b w:val="0"/>
          <w:i w:val="0"/>
          <w:sz w:val="21"/>
        </w:rPr>
        <w:t>(c)  Foley catheter</w:t>
      </w:r>
    </w:p>
    <w:p>
      <w:pPr>
        <w:spacing w:after="20" w:before="0"/>
      </w:pPr>
      <w:r>
        <w:rPr>
          <w:b w:val="0"/>
          <w:i w:val="0"/>
          <w:sz w:val="21"/>
        </w:rPr>
        <w:t>(d)  Luer lock syringe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instrument shown is the ELLICK EVACUATOR — a bulb-type device used to irrigate and evacuate blood clots from the bladder, classically after transurethral resection of the prostate (TURP). Toomey’s syringe is a similar bladder syringe; a Foley is a catheter; a Luer lock syringe is a standard hypodermic syringe.</w:t>
      </w:r>
    </w:p>
    <w:p>
      <w:pPr>
        <w:spacing w:after="20" w:before="0"/>
      </w:pPr>
      <w:r>
        <w:rPr>
          <w:b/>
        </w:rPr>
        <w:t xml:space="preserve">🔍 Key Clues: </w:t>
      </w:r>
      <w:r>
        <w:t>Bulb evacuator for bladder clots post-TURP = Ellick evacuator.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Toomey’s syringe is a bladder irrigation syringe. | c — Foley = urinary catheter. | d — Luer lock syringe = hypodermic syringe.</w:t>
      </w:r>
    </w:p>
    <w:p>
      <w:pPr>
        <w:spacing w:after="20" w:before="0"/>
      </w:pPr>
      <w:r>
        <w:rPr>
          <w:b/>
          <w:color w:val="B45F06"/>
        </w:rPr>
        <w:t xml:space="preserve">⚠️ Exam Trap: </w:t>
      </w:r>
      <w:r>
        <w:t>Ellick evacuator vs Toomey syringe — both bladder irrigation devices; identify by shape.</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Ellick evacuator: bladder clot evacuation (post-TURP).</w:t>
      </w:r>
    </w:p>
    <w:p>
      <w:pPr>
        <w:spacing w:after="0" w:before="0"/>
      </w:pPr>
      <w:r>
        <w:rPr>
          <w:b/>
          <w:i w:val="0"/>
          <w:sz w:val="21"/>
        </w:rPr>
        <w:t>Positive Marks: 1    Negative Marks: 0.25</w:t>
      </w:r>
    </w:p>
    <w:p>
      <w:pPr>
        <w:spacing w:before="280" w:after="40"/>
      </w:pPr>
      <w:r>
        <w:rPr>
          <w:b/>
        </w:rPr>
        <w:t xml:space="preserve">Question: </w:t>
      </w:r>
      <w:r>
        <w:t>Which of the following is defined as a compulsive urge to steal items, usually of personal or monetary value?</w:t>
      </w:r>
    </w:p>
    <w:p>
      <w:pPr>
        <w:spacing w:after="20" w:before="0"/>
      </w:pPr>
      <w:r>
        <w:rPr>
          <w:b w:val="0"/>
          <w:i w:val="0"/>
          <w:sz w:val="21"/>
        </w:rPr>
        <w:t>(a)  Trichotillomania</w:t>
      </w:r>
    </w:p>
    <w:p>
      <w:pPr>
        <w:spacing w:after="20" w:before="0"/>
      </w:pPr>
      <w:r>
        <w:rPr>
          <w:b w:val="0"/>
          <w:i w:val="0"/>
          <w:sz w:val="21"/>
        </w:rPr>
        <w:t>(b)  Kleptomania</w:t>
      </w:r>
    </w:p>
    <w:p>
      <w:pPr>
        <w:spacing w:after="20" w:before="0"/>
      </w:pPr>
      <w:r>
        <w:rPr>
          <w:b w:val="0"/>
          <w:i w:val="0"/>
          <w:sz w:val="21"/>
        </w:rPr>
        <w:t>(c)  Pyromania</w:t>
      </w:r>
    </w:p>
    <w:p>
      <w:pPr>
        <w:spacing w:after="20" w:before="0"/>
      </w:pPr>
      <w:r>
        <w:rPr>
          <w:b w:val="0"/>
          <w:i w:val="0"/>
          <w:sz w:val="21"/>
        </w:rPr>
        <w:t>(d)  Satyriasis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KLEPTOMANIA is the impulse-control disorder characterised by a COMPULSIVE URGE TO STEAL items (usually of little personal/monetary value to the person), with tension before and relief after the act. Trichotillomania = hair pulling; pyromania = fire setting; satyriasis = excessive male sexual desire.</w:t>
      </w:r>
    </w:p>
    <w:p>
      <w:pPr>
        <w:spacing w:after="20" w:before="0"/>
      </w:pPr>
      <w:r>
        <w:rPr>
          <w:b/>
        </w:rPr>
        <w:t xml:space="preserve">🔍 Key Clues: </w:t>
      </w:r>
      <w:r>
        <w:t>Compulsive stealing = kleptomania (impulse-control disorder).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Trichotillomania = pulling out hair. | c — Pyromania = setting fires. | d — Satyriasis = excessive sexual desire in males.</w:t>
      </w:r>
    </w:p>
    <w:p>
      <w:pPr>
        <w:spacing w:after="20" w:before="0"/>
      </w:pPr>
      <w:r>
        <w:rPr>
          <w:b/>
          <w:color w:val="B45F06"/>
        </w:rPr>
        <w:t xml:space="preserve">⚠️ Exam Trap: </w:t>
      </w:r>
      <w:r>
        <w:t>Impulse disorders: steal (klepto), fire (pyro), hair (trichotillo).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Kleptomania: compulsive urge to steal.</w:t>
      </w:r>
    </w:p>
    <w:p>
      <w:pPr>
        <w:spacing w:after="0" w:before="0"/>
      </w:pPr>
      <w:r>
        <w:rPr>
          <w:b/>
          <w:i w:val="0"/>
          <w:sz w:val="21"/>
        </w:rPr>
        <w:t>Positive Marks: 1    Negative Marks: 0.25</w:t>
      </w:r>
    </w:p>
    <w:p>
      <w:pPr>
        <w:spacing w:before="280" w:after="40"/>
      </w:pPr>
      <w:r>
        <w:rPr>
          <w:b/>
        </w:rPr>
        <w:t xml:space="preserve">Question: </w:t>
      </w:r>
      <w:r>
        <w:t>Erotomania involves:</w:t>
      </w:r>
    </w:p>
    <w:p>
      <w:pPr>
        <w:spacing w:after="20" w:before="0"/>
      </w:pPr>
      <w:r>
        <w:rPr>
          <w:b w:val="0"/>
          <w:i w:val="0"/>
          <w:sz w:val="21"/>
        </w:rPr>
        <w:t>(a)  A belief that someone of higher social status is in love with the individual</w:t>
      </w:r>
    </w:p>
    <w:p>
      <w:pPr>
        <w:spacing w:after="20" w:before="0"/>
      </w:pPr>
      <w:r>
        <w:rPr>
          <w:b w:val="0"/>
          <w:i w:val="0"/>
          <w:sz w:val="21"/>
        </w:rPr>
        <w:t>(b)  An intense need to be the center of attention</w:t>
      </w:r>
    </w:p>
    <w:p>
      <w:pPr>
        <w:spacing w:after="20" w:before="0"/>
      </w:pPr>
      <w:r>
        <w:rPr>
          <w:b w:val="0"/>
          <w:i w:val="0"/>
          <w:sz w:val="21"/>
        </w:rPr>
        <w:t>(c)  Persistent worry about having a serious illness</w:t>
      </w:r>
    </w:p>
    <w:p>
      <w:pPr>
        <w:spacing w:after="20" w:before="0"/>
      </w:pPr>
      <w:r>
        <w:rPr>
          <w:b w:val="0"/>
          <w:i w:val="0"/>
          <w:sz w:val="21"/>
        </w:rPr>
        <w:t>(d)  Frequent intrusive thoughts about food</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EROTOMANIA (de Clerambault syndrome) is a delusional disorder in which the person BELIEVES THAT SOMEONE — usually of higher social status (celebrity, boss, public figure) — IS IN LOVE WITH THEM. An intense need for attention = histrionic traits; persistent illness worry = hypochondriasis.</w:t>
      </w:r>
    </w:p>
    <w:p>
      <w:pPr>
        <w:spacing w:after="20" w:before="0"/>
      </w:pPr>
      <w:r>
        <w:rPr>
          <w:b/>
        </w:rPr>
        <w:t xml:space="preserve">🔍 Key Clues: </w:t>
      </w:r>
      <w:r>
        <w:t>Delusion that a high-status person loves the individual = erotomania.</w:t>
      </w:r>
    </w:p>
    <w:p>
      <w:pPr>
        <w:spacing w:after="20" w:before="0"/>
      </w:pPr>
      <w:r>
        <w:rPr>
          <w:b/>
        </w:rPr>
        <w:t xml:space="preserve">🚨 Priority Principle: </w:t>
      </w:r>
      <w:r>
        <w:t>Patient safety and dignity guide care — reduce risk, avoid confrontation and involve the patient.</w:t>
      </w:r>
    </w:p>
    <w:p>
      <w:pPr>
        <w:spacing w:after="20" w:before="0"/>
      </w:pPr>
      <w:r>
        <w:rPr>
          <w:b/>
        </w:rPr>
        <w:t xml:space="preserve">❌ Why Not Other Options: </w:t>
      </w:r>
      <w:r>
        <w:t>b — Attention-seeking = histrionic features. | c — Illness worry = hypochondriasis/illness anxiety. | d — Food preoccupation is not erotomania.</w:t>
      </w:r>
    </w:p>
    <w:p>
      <w:pPr>
        <w:spacing w:after="20" w:before="0"/>
      </w:pPr>
      <w:r>
        <w:rPr>
          <w:b/>
          <w:color w:val="B45F06"/>
        </w:rPr>
        <w:t xml:space="preserve">⚠️ Exam Trap: </w:t>
      </w:r>
      <w:r>
        <w:t>Erotomania = love delusion toward the high-status person — a type of delusional disorder.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Erotomania: delusion that a high-status person is in love with the individual.</w:t>
      </w:r>
    </w:p>
    <w:p>
      <w:pPr>
        <w:spacing w:after="0" w:before="0"/>
      </w:pPr>
      <w:r>
        <w:rPr>
          <w:b/>
          <w:i w:val="0"/>
          <w:sz w:val="21"/>
        </w:rPr>
        <w:t>Positive Marks: 1    Negative Marks: 0.25</w:t>
      </w:r>
    </w:p>
    <w:p>
      <w:pPr>
        <w:spacing w:before="280" w:after="40"/>
      </w:pPr>
      <w:r>
        <w:rPr>
          <w:b/>
        </w:rPr>
        <w:t xml:space="preserve">Question: </w:t>
      </w:r>
      <w:r>
        <w:t>Which of the following is not included in the criteria for severe acute malnutrition? (Malnutrition-Gastrointestinal disorders - Child health nursing)-Basic</w:t>
      </w:r>
    </w:p>
    <w:p>
      <w:pPr>
        <w:spacing w:after="20" w:before="0"/>
      </w:pPr>
      <w:r>
        <w:rPr>
          <w:b w:val="0"/>
          <w:i w:val="0"/>
          <w:sz w:val="21"/>
        </w:rPr>
        <w:t>(a)  Weight for height</w:t>
      </w:r>
    </w:p>
    <w:p>
      <w:pPr>
        <w:spacing w:after="20" w:before="0"/>
      </w:pPr>
      <w:r>
        <w:rPr>
          <w:b w:val="0"/>
          <w:i w:val="0"/>
          <w:sz w:val="21"/>
        </w:rPr>
        <w:t>(b)  Pedal edema</w:t>
      </w:r>
    </w:p>
    <w:p>
      <w:pPr>
        <w:spacing w:after="20" w:before="0"/>
      </w:pPr>
      <w:r>
        <w:rPr>
          <w:b w:val="0"/>
          <w:i w:val="0"/>
          <w:sz w:val="21"/>
        </w:rPr>
        <w:t>(c)  Height for age</w:t>
      </w:r>
    </w:p>
    <w:p>
      <w:pPr>
        <w:spacing w:after="20" w:before="0"/>
      </w:pPr>
      <w:r>
        <w:rPr>
          <w:b w:val="0"/>
          <w:i w:val="0"/>
          <w:sz w:val="21"/>
        </w:rPr>
        <w:t>(d)  Mid upper arm circumference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SEVERE ACUTE MALNUTRITION (SAM) is diagnosed by: severe WASTING (weight-for-height &lt; -3 SD or &lt; 70% of median), MUAC &lt; 11.5 cm (6-59 months), and BILATERAL PEDAL EDEMA. HEIGHT-FOR-AGE is NOT part of the SAM criteria — it indicates stunting (chronic malnutrition).</w:t>
      </w:r>
    </w:p>
    <w:p>
      <w:pPr>
        <w:spacing w:after="20" w:before="0"/>
      </w:pPr>
      <w:r>
        <w:rPr>
          <w:b/>
        </w:rPr>
        <w:t xml:space="preserve">🔍 Key Clues: </w:t>
      </w:r>
      <w:r>
        <w:t>SAM criteria: WHZ &lt; -3 SD, MUAC &lt; 11.5 cm, bilateral pedal edema — not height-for-age.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Weight-for-height &lt; -3 SD is a SAM criterion. | b — Bilateral pedal edema defines SAM. | d — MUAC &lt; 11.5 cm is a SAM criterion.</w:t>
      </w:r>
    </w:p>
    <w:p>
      <w:pPr>
        <w:spacing w:after="20" w:before="0"/>
      </w:pPr>
      <w:r>
        <w:rPr>
          <w:b/>
          <w:color w:val="B45F06"/>
        </w:rPr>
        <w:t xml:space="preserve">⚠️ Exam Trap: </w:t>
      </w:r>
      <w:r>
        <w:t>SAM = acute (wasting/edema/MUAC); stunting = chronic (height-for-age).</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SAM criteria: WHZ &lt; -3 SD, MUAC &lt; 11.5 cm, edema — not height-for-age.</w:t>
      </w:r>
    </w:p>
    <w:p>
      <w:pPr>
        <w:spacing w:after="0" w:before="0"/>
      </w:pPr>
      <w:r>
        <w:rPr>
          <w:b/>
          <w:i w:val="0"/>
          <w:sz w:val="21"/>
        </w:rPr>
        <w:t>Positive Marks: 1    Negative Marks: 0.25</w:t>
      </w:r>
    </w:p>
    <w:p>
      <w:pPr>
        <w:spacing w:before="280" w:after="40"/>
      </w:pPr>
      <w:r>
        <w:rPr>
          <w:b/>
        </w:rPr>
        <w:t xml:space="preserve">Question: </w:t>
      </w:r>
      <w:r>
        <w:t>Which of the following defects is shown in the image? (Congenital disorders-Neurological disorders-Child health nursing)-Basic</w:t>
      </w:r>
    </w:p>
    <w:p>
      <w:pPr>
        <w:spacing w:after="40" w:before="0"/>
      </w:pPr>
      <w:r>
        <w:rPr>
          <w:b w:val="0"/>
          <w:i/>
          <w:color w:val="B45F06"/>
          <w:sz w:val="20"/>
        </w:rPr>
        <w:t>[ IMAGE: N8-Q80 — image in the Image Bank, to be inserted ]</w:t>
      </w:r>
    </w:p>
    <w:p>
      <w:pPr>
        <w:spacing w:after="20" w:before="0"/>
      </w:pPr>
      <w:r>
        <w:rPr>
          <w:b w:val="0"/>
          <w:i w:val="0"/>
          <w:sz w:val="21"/>
        </w:rPr>
        <w:t>(a)  Meningeomyocele</w:t>
      </w:r>
    </w:p>
    <w:p>
      <w:pPr>
        <w:spacing w:after="20" w:before="0"/>
      </w:pPr>
      <w:r>
        <w:rPr>
          <w:b w:val="0"/>
          <w:i w:val="0"/>
          <w:sz w:val="21"/>
        </w:rPr>
        <w:t>(b)  Hydrocephalus</w:t>
      </w:r>
    </w:p>
    <w:p>
      <w:pPr>
        <w:spacing w:after="20" w:before="0"/>
      </w:pPr>
      <w:r>
        <w:rPr>
          <w:b w:val="0"/>
          <w:i w:val="0"/>
          <w:sz w:val="21"/>
        </w:rPr>
        <w:t>(c)  Rachischisis</w:t>
      </w:r>
    </w:p>
    <w:p>
      <w:pPr>
        <w:spacing w:after="20" w:before="0"/>
      </w:pPr>
      <w:r>
        <w:rPr>
          <w:b w:val="0"/>
          <w:i w:val="0"/>
          <w:sz w:val="21"/>
        </w:rPr>
        <w:t>(d)  Anencephaly</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Per the image and printed key, the defect shown is ANENCEPHALY — the absence of the cerebral hemispheres and much of the skull (a neural tube defect incompatible with life, with only the brainstem present). Meningomyelocele is a spinal sac containing meninges + neural tissue; rachischisis is a completely open spine; hydrocephalus is excess CSF.</w:t>
      </w:r>
    </w:p>
    <w:p>
      <w:pPr>
        <w:spacing w:after="20" w:before="0"/>
      </w:pPr>
      <w:r>
        <w:rPr>
          <w:b/>
        </w:rPr>
        <w:t xml:space="preserve">🔍 Key Clues: </w:t>
      </w:r>
      <w:r>
        <w:t>Absent skull vault + exposed brain tissue remnant = anencephaly (NTD).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Meningomyelocele = open spinal sac. | b — Hydrocephalus = enlarged head from CSF. | c — Rachischisis = fully open neural canal.</w:t>
      </w:r>
    </w:p>
    <w:p>
      <w:pPr>
        <w:spacing w:after="20" w:before="0"/>
      </w:pPr>
      <w:r>
        <w:rPr>
          <w:b/>
          <w:color w:val="B45F06"/>
        </w:rPr>
        <w:t xml:space="preserve">⚠️ Exam Trap: </w:t>
      </w:r>
      <w:r>
        <w:t>Anencephaly = absent brain/skull (lethal); encephalocele = brain sac; myelomeningocele = spinal sac.</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Anencephaly: absent cerebral hemispheres and skull vault (NTD).</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