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</w:rPr>
        <w:t xml:space="preserve">Question: </w:t>
      </w:r>
      <w:r>
        <w:t>Atropine is given before abdominal surgery to: (AHN)</w:t>
      </w:r>
    </w:p>
    <w:p>
      <w:pPr>
        <w:spacing w:after="20" w:before="0"/>
      </w:pPr>
      <w:r>
        <w:rPr>
          <w:b w:val="0"/>
          <w:i w:val="0"/>
          <w:sz w:val="21"/>
        </w:rPr>
        <w:t>(a)  Reduce gastric secretions</w:t>
      </w:r>
    </w:p>
    <w:p>
      <w:pPr>
        <w:spacing w:after="20" w:before="0"/>
      </w:pPr>
      <w:r>
        <w:rPr>
          <w:b w:val="0"/>
          <w:i w:val="0"/>
          <w:sz w:val="21"/>
        </w:rPr>
        <w:t>(b)  Increase peristalsis</w:t>
      </w:r>
    </w:p>
    <w:p>
      <w:pPr>
        <w:spacing w:after="20" w:before="0"/>
      </w:pPr>
      <w:r>
        <w:rPr>
          <w:b w:val="0"/>
          <w:i w:val="0"/>
          <w:sz w:val="21"/>
        </w:rPr>
        <w:t>(c)  Prevent infection</w:t>
      </w:r>
    </w:p>
    <w:p>
      <w:pPr>
        <w:spacing w:after="20" w:before="0"/>
      </w:pPr>
      <w:r>
        <w:rPr>
          <w:b w:val="0"/>
          <w:i w:val="0"/>
          <w:sz w:val="21"/>
        </w:rPr>
        <w:t>(d)  Increase urine output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ATROPINE (an anticholinergic) is given preoperatively to REDUCE GASTRIC/ORAL SECRETIONS and prevent vagal bradycardia during anaesthesia — drying secretions protects the airway and prevents aspiration. It does not increase peristalsis (it reduces it), prevent infection, or increase urine output.</w:t>
      </w:r>
    </w:p>
    <w:p>
      <w:pPr>
        <w:spacing w:after="20" w:before="0"/>
      </w:pPr>
      <w:r>
        <w:rPr>
          <w:b/>
        </w:rPr>
        <w:t xml:space="preserve">🔍 Key Clues: </w:t>
      </w:r>
      <w:r>
        <w:t>Pre-op atropine: anticholinergic → dries secretions, blocks vagal bradycardia.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Anticholinergics DECREASE peristalsis. | c — Antibiotics prevent infection, not atropine. | d — Atropine does not increase urine output.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Atropine = antisialagogue (dries secretions) + vagolytic (prevents bradycardia).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Pre-op atropine: reduce gastric secretions.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is presented with pelvic trauma associated with testicular injury. What is the priority nursing action?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Insert Foley catheter immediately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Avoid urethral catheterization </w:t>
      </w:r>
    </w:p>
    <w:p>
      <w:pPr>
        <w:spacing w:after="20" w:before="0"/>
      </w:pPr>
      <w:r>
        <w:rPr>
          <w:b w:val="0"/>
          <w:i w:val="0"/>
          <w:sz w:val="21"/>
        </w:rPr>
        <w:t>(c)  Apply ice packs and reassurance only</w:t>
      </w:r>
    </w:p>
    <w:p>
      <w:pPr>
        <w:spacing w:after="20" w:before="0"/>
      </w:pPr>
      <w:r>
        <w:rPr>
          <w:b w:val="0"/>
          <w:i w:val="0"/>
          <w:sz w:val="21"/>
        </w:rPr>
        <w:t>(d)  Start antibiotics and send urine culture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In PELVIC TRAUMA with suspected urethral injury (blood at the meatus, scrotal/testicular injury, high-riding prostate), the priority is to AVOID URETHRAL CATHETERIZATION — passing a catheter can convert a partial urethral tear into a complete one. The urologist assesses urethral integrity (retrograde urethrogram) before any catheter is considered.</w:t>
      </w:r>
    </w:p>
    <w:p>
      <w:pPr>
        <w:spacing w:after="20" w:before="0"/>
      </w:pPr>
      <w:r>
        <w:rPr>
          <w:b/>
        </w:rPr>
        <w:t xml:space="preserve">🔍 Key Clues: </w:t>
      </w:r>
      <w:r>
        <w:t>Pelvic trauma + suspected urethral injury → DO NOT catheterize (retrograde urethrogram first).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Catheterisation risks worsening a urethral tear. | c — Ice and reassurance alone are inadequate. | d — Antibiotics/culture are not the priority.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Blood at the meatus / pelvic fracture = suspect urethral injury → no catheter until urethrogram.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Pelvic trauma + testicular injury: avoid urethral catheterization.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Which finding in a patient receiving opioid analgesics indicates the most serious concern and requires immediate intervention? (AHN)</w:t>
      </w:r>
    </w:p>
    <w:p>
      <w:pPr>
        <w:spacing w:after="20" w:before="0"/>
      </w:pPr>
      <w:r>
        <w:rPr>
          <w:b w:val="0"/>
          <w:i w:val="0"/>
          <w:sz w:val="21"/>
        </w:rPr>
        <w:t>(a)  Constipation</w:t>
      </w:r>
    </w:p>
    <w:p>
      <w:pPr>
        <w:spacing w:after="20" w:before="0"/>
      </w:pPr>
      <w:r>
        <w:rPr>
          <w:b w:val="0"/>
          <w:i w:val="0"/>
          <w:sz w:val="21"/>
        </w:rPr>
        <w:t>(b)  Nausea and vomiting</w:t>
      </w:r>
    </w:p>
    <w:p>
      <w:pPr>
        <w:spacing w:after="20" w:before="0"/>
      </w:pPr>
      <w:r>
        <w:rPr>
          <w:b w:val="0"/>
          <w:i w:val="0"/>
          <w:sz w:val="21"/>
        </w:rPr>
        <w:t>(c)  Respiratory rate 10/min</w:t>
      </w:r>
    </w:p>
    <w:p>
      <w:pPr>
        <w:spacing w:after="20" w:before="0"/>
      </w:pPr>
      <w:r>
        <w:rPr>
          <w:b w:val="0"/>
          <w:i w:val="0"/>
          <w:sz w:val="21"/>
        </w:rPr>
        <w:t>(d)  Urinary retention</w:t>
      </w:r>
    </w:p>
    <w:p>
      <w:pPr>
        <w:spacing w:after="80" w:before="0"/>
      </w:pPr>
      <w:r>
        <w:rPr>
          <w:b/>
          <w:i w:val="0"/>
          <w:sz w:val="22"/>
        </w:rPr>
        <w:t>Answer: c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c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 RESPIRATORY RATE OF 10/MIN (bradypnea) in a patient on opioids indicates RESPIRATORY DEPRESSION — the most serious, life-threatening opioid effect requiring immediate intervention (stimulate, hold opioid, give naloxone if severe). Constipation, nausea and urinary retention are common opioid side effects but not immediately life-threatening.</w:t>
      </w:r>
    </w:p>
    <w:p>
      <w:pPr>
        <w:spacing w:after="20" w:before="0"/>
      </w:pPr>
      <w:r>
        <w:rPr>
          <w:b/>
        </w:rPr>
        <w:t xml:space="preserve">🔍 Key Clues: </w:t>
      </w:r>
      <w:r>
        <w:t>Opioid + RR 10/min = respiratory depression → immediate action (naloxone if needed).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Constipation is common but not life-threatening. | b — Nausea/vomiting are common side effects. | d — Urinary retention is uncomfortable, not immediately fatal.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Opioid monitoring: RR &lt; 12/min + sedation = toxicity → hold opioid, naloxone per protocol.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Opioid + RR 10/min = respiratory depression (emergency).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on mechanical ventilation shows sudden desaturation and increased peak airway pressure on the ventilator. What is the immediate nursing action?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Increase the oxygen flow 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Perform suctioning </w:t>
      </w:r>
    </w:p>
    <w:p>
      <w:pPr>
        <w:spacing w:after="20" w:before="0"/>
      </w:pPr>
      <w:r>
        <w:rPr>
          <w:b w:val="0"/>
          <w:i w:val="0"/>
          <w:sz w:val="21"/>
        </w:rPr>
        <w:t>(c)  Administer bronchodilator</w:t>
      </w:r>
    </w:p>
    <w:p>
      <w:pPr>
        <w:spacing w:after="20" w:before="0"/>
      </w:pPr>
      <w:r>
        <w:rPr>
          <w:b w:val="0"/>
          <w:i w:val="0"/>
          <w:sz w:val="21"/>
        </w:rPr>
        <w:t>(d)  Notify the physician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SUDDEN DESATURATION with INCREASED PEAK AIRWAY PRESSURE on a ventilator suggests an acute airway problem — most commonly a SECRETION PLUG (mucus obstruction) or a kinked tube. The immediate action is to SUCTION the airway (and check tube patency/kinks); if the tube is plugged, disconnecting and manually bagging may be needed. Notifying comes after the direct intervention.</w:t>
      </w:r>
    </w:p>
    <w:p>
      <w:pPr>
        <w:spacing w:after="20" w:before="0"/>
      </w:pPr>
      <w:r>
        <w:rPr>
          <w:b/>
        </w:rPr>
        <w:t xml:space="preserve">🔍 Key Clues: </w:t>
      </w:r>
      <w:r>
        <w:t>↑Peak pressure + ↓SpO2 = tube plugged/kinked → suction and check the tube.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Increasing O2 does not fix the obstruction. | c — Bronchodilator treats bronchospasm, not plugging. | d — Notify follows the immediate airway intervention.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High peak pressure = airway/tube problem (plug, kink, bite); low peak = leak or disconnection.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Ventilator ↑pressure + desaturation: suction the airway.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with a history of peptic ulcer requires pain management, which analgesic approach is safest?  (AHN)</w:t>
      </w:r>
    </w:p>
    <w:p>
      <w:pPr>
        <w:spacing w:after="20" w:before="0"/>
      </w:pPr>
      <w:r>
        <w:rPr>
          <w:b w:val="0"/>
          <w:i w:val="0"/>
          <w:sz w:val="21"/>
        </w:rPr>
        <w:t>(a)  NSAIDS</w:t>
      </w:r>
    </w:p>
    <w:p>
      <w:pPr>
        <w:spacing w:after="20" w:before="0"/>
      </w:pPr>
      <w:r>
        <w:rPr>
          <w:b w:val="0"/>
          <w:i w:val="0"/>
          <w:sz w:val="21"/>
        </w:rPr>
        <w:t>(b)  Avoid NSAIDS</w:t>
      </w:r>
    </w:p>
    <w:p>
      <w:pPr>
        <w:spacing w:after="20" w:before="0"/>
      </w:pPr>
      <w:r>
        <w:rPr>
          <w:b w:val="0"/>
          <w:i w:val="0"/>
          <w:sz w:val="21"/>
        </w:rPr>
        <w:t>(c)  Aspirin</w:t>
      </w:r>
    </w:p>
    <w:p>
      <w:pPr>
        <w:spacing w:after="20" w:before="0"/>
      </w:pPr>
      <w:r>
        <w:rPr>
          <w:b w:val="0"/>
          <w:i w:val="0"/>
          <w:sz w:val="21"/>
        </w:rPr>
        <w:t>(d)  NSAIDS with PPI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In a patient with PEPTIC ULCER, NSAIDs and aspirin are gastric irritants that can cause bleeding/perforation — the SAFEST approach is to AVOID NSAIDS entirely and use paracetamol/opioids instead. NSAIDs with a PPI reduce (but do not eliminate) the ulcer risk; the keyed safest answer is avoiding them.</w:t>
      </w:r>
    </w:p>
    <w:p>
      <w:pPr>
        <w:spacing w:after="20" w:before="0"/>
      </w:pPr>
      <w:r>
        <w:rPr>
          <w:b/>
        </w:rPr>
        <w:t xml:space="preserve">🔍 Key Clues: </w:t>
      </w:r>
      <w:r>
        <w:t>Peptic ulcer → avoid NSAIDs/aspirin (paracetamol/opioids instead).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NSAIDs worsen ulcers (bleeding/perforation). | c — Aspirin is an NSAID-like gastric irritant. | d — PPI reduces but does not remove the NSAID ulcer risk.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NSAIDs inhibit COX-1 → less protective gastric mucus → ulcer/bleeding; safest is avoidance.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Peptic ulcer pain: avoid NSAIDs.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develops headache and dizziness after a lumbar puncture, what is the most appropriate immediate nursing action?   (AHN)</w:t>
      </w:r>
    </w:p>
    <w:p>
      <w:pPr>
        <w:spacing w:after="20" w:before="0"/>
      </w:pPr>
      <w:r>
        <w:rPr>
          <w:b w:val="0"/>
          <w:i w:val="0"/>
          <w:sz w:val="21"/>
        </w:rPr>
        <w:t>(a)  Send sample to laboratory</w:t>
      </w:r>
    </w:p>
    <w:p>
      <w:pPr>
        <w:spacing w:after="20" w:before="0"/>
      </w:pPr>
      <w:r>
        <w:rPr>
          <w:b w:val="0"/>
          <w:i w:val="0"/>
          <w:sz w:val="21"/>
        </w:rPr>
        <w:t>(b)  Position patient in prone</w:t>
      </w:r>
    </w:p>
    <w:p>
      <w:pPr>
        <w:spacing w:after="20" w:before="0"/>
      </w:pPr>
      <w:r>
        <w:rPr>
          <w:b w:val="0"/>
          <w:i w:val="0"/>
          <w:sz w:val="21"/>
        </w:rPr>
        <w:t>(c)  Notify physician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Encourage deep breathing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Post-LP HEADACHE and DIZZINESS indicate spinal headache from CSF leak — the immediate nursing action is to position the patient PRONE/FLAT (supine) with fluids, which reduces the leak and symptoms. The sample was already sent at collection; notifying the physician follows conservative measures.</w:t>
      </w:r>
    </w:p>
    <w:p>
      <w:pPr>
        <w:spacing w:after="20" w:before="0"/>
      </w:pPr>
      <w:r>
        <w:rPr>
          <w:b/>
        </w:rPr>
        <w:t xml:space="preserve">🔍 Key Clues: </w:t>
      </w:r>
      <w:r>
        <w:t>Post-LP headache = CSF leak → keep flat/prone + fluids.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The sample is collected and sent during the procedure. | c — Notifying is secondary to positioning. | d — Deep breathing does not relieve the headache.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Post-LP headache prevention: small pencil-point needle, flat bedrest, hydration.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Post-LP headache: position prone/flat with fluids.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Which of the following is the most common side effect of nitroglycerin? (AHN)</w:t>
      </w:r>
    </w:p>
    <w:p>
      <w:pPr>
        <w:spacing w:after="20" w:before="0"/>
      </w:pPr>
      <w:r>
        <w:rPr>
          <w:b w:val="0"/>
          <w:i w:val="0"/>
          <w:sz w:val="21"/>
        </w:rPr>
        <w:t>(a)  Bradycardia</w:t>
      </w:r>
    </w:p>
    <w:p>
      <w:pPr>
        <w:spacing w:after="20" w:before="0"/>
      </w:pPr>
      <w:r>
        <w:rPr>
          <w:b w:val="0"/>
          <w:i w:val="0"/>
          <w:sz w:val="21"/>
        </w:rPr>
        <w:t>(b)  Headache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(c)  Nausea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Palpitations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HEADACHE is the MOST COMMON side effect of nitroglycerin — caused by vasodilation of cerebral vessels. Flushing, dizziness and hypotension are also common; bradycardia is not typical (reflex tachycardia can occur).</w:t>
      </w:r>
    </w:p>
    <w:p>
      <w:pPr>
        <w:spacing w:after="20" w:before="0"/>
      </w:pPr>
      <w:r>
        <w:rPr>
          <w:b/>
        </w:rPr>
        <w:t xml:space="preserve">🔍 Key Clues: </w:t>
      </w:r>
      <w:r>
        <w:t>NTG (vasodilator) → headache is the commonest side effect.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Medication safety — the right drug, right dose, right route, right time and right patient — governs every administration decision.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Bradycardia is not typical of NTG. | c — Nausea is less common. | d — Palpitations may occur but headache is commonest.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NTG side effects: headache, flushing, dizziness, hypotension — the 'NTG headache' is expected.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Most common NTG side effect: headache.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is suspected of having acute pancreatitis, which laboratory values are most commonly elevated?  (AHN)</w:t>
      </w:r>
    </w:p>
    <w:p>
      <w:pPr>
        <w:spacing w:after="20" w:before="0"/>
      </w:pPr>
      <w:r>
        <w:rPr>
          <w:b w:val="0"/>
          <w:i w:val="0"/>
          <w:sz w:val="21"/>
        </w:rPr>
        <w:t>(a)  Amylase and lipase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Triglycerides </w:t>
      </w:r>
    </w:p>
    <w:p>
      <w:pPr>
        <w:spacing w:after="20" w:before="0"/>
      </w:pPr>
      <w:r>
        <w:rPr>
          <w:b w:val="0"/>
          <w:i w:val="0"/>
          <w:sz w:val="21"/>
        </w:rPr>
        <w:t>(c)  ALT and AST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Creatinine 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ACUTE PANCREATITIS causes ELEVATED SERUM AMYLASE AND LIPASE — lipase is more specific and stays elevated longer. Triglycerides can be a cause of pancreatitis but are not the diagnostic test; ALT/AST point to the liver; creatinine reflects renal function.</w:t>
      </w:r>
    </w:p>
    <w:p>
      <w:pPr>
        <w:spacing w:after="20" w:before="0"/>
      </w:pPr>
      <w:r>
        <w:rPr>
          <w:b/>
        </w:rPr>
        <w:t xml:space="preserve">🔍 Key Clues: </w:t>
      </w:r>
      <w:r>
        <w:t>Acute pancreatitis → ↑amylase and ↑lipase (lipase more specific).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Triglycerides are a cause, not the diagnostic marker. | c — ALT/AST = liver enzymes. | d — Creatinine = renal function.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Lipase &gt; 3× normal is the best diagnostic; amylase rises early and falls quickly.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Acute pancreatitis: elevated amylase and lipase.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patient's arterial blood gas shows pH 7.50, PaCO₂ 28 mmHg, HCO₃⁻ 24 mEq/L. Which of the following is the most likely cause?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Chronic obstructive pulmonary disease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Pulmonary embolism </w:t>
      </w:r>
    </w:p>
    <w:p>
      <w:pPr>
        <w:spacing w:after="20" w:before="0"/>
      </w:pPr>
      <w:r>
        <w:rPr>
          <w:b w:val="0"/>
          <w:i w:val="0"/>
          <w:sz w:val="21"/>
        </w:rPr>
        <w:t>(c)  Air embolism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Hypoxia 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pH 7.50 (alkalosis) with LOW PaCO₂ (28) and normal HCO₃⁻ = RESPIRATORY ALKALOSIS from hyperventilation. PULMONARY EMBOLISM causes acute hyperventilation → respiratory alkalosis (and is the keyed answer). COPD causes respiratory ACIDOSIS; hypoxia alone or air embolism do not classically cause this ABG pattern.</w:t>
      </w:r>
    </w:p>
    <w:p>
      <w:pPr>
        <w:spacing w:after="20" w:before="0"/>
      </w:pPr>
      <w:r>
        <w:rPr>
          <w:b/>
        </w:rPr>
        <w:t xml:space="preserve">🔍 Key Clues: </w:t>
      </w:r>
      <w:r>
        <w:t>High pH + low PaCO₂ + normal HCO₃ = respiratory alkalosis → PE/hyperventilation.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COPD = respiratory acidosis (high PaCO₂). | c — Air embolism is not the classic cause. | d — Hypoxia alone is not the keyed cause.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Respiratory alkalosis causes: hyperventilation — pain, anxiety, PE, salicylates, high altitude.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Respiratory alkalosis: pulmonary embolism (hyperventilation).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is unconscious after trauma with suspected cervical spine injury. What is the priority nursing intervention?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Insert oropharyngeal airway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Start IV fluids </w:t>
      </w:r>
    </w:p>
    <w:p>
      <w:pPr>
        <w:spacing w:after="20" w:before="0"/>
      </w:pPr>
      <w:r>
        <w:rPr>
          <w:b w:val="0"/>
          <w:i w:val="0"/>
          <w:sz w:val="21"/>
        </w:rPr>
        <w:t>(c)  Perform neuro assessment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Apply cervical immobilization </w:t>
      </w:r>
    </w:p>
    <w:p>
      <w:pPr>
        <w:spacing w:after="80" w:before="0"/>
      </w:pPr>
      <w:r>
        <w:rPr>
          <w:b/>
          <w:i w:val="0"/>
          <w:sz w:val="22"/>
        </w:rPr>
        <w:t>Answer: d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d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In TRAUMA with a suspected CERVICAL SPINE injury, the priority is CERVICAL SPINE IMMOBILISATION (manual stabilisation → collar/backboard) — before airway/other moves, to prevent secondary spinal cord injury. Airway management, IV fluids and neuro assessment follow, all performed with the neck stabilised.</w:t>
      </w:r>
    </w:p>
    <w:p>
      <w:pPr>
        <w:spacing w:after="20" w:before="0"/>
      </w:pPr>
      <w:r>
        <w:rPr>
          <w:b/>
        </w:rPr>
        <w:t xml:space="preserve">🔍 Key Clues: </w:t>
      </w:r>
      <w:r>
        <w:t>Trauma + suspected C-spine injury → immobilise the cervical spine first.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Airway adjuncts are used with neck stabilisation, not before it. | b — IV fluids come after immobilisation. | c — Neuro assessment follows stabilisation.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Trauma ABCs start with cervical spine control — 'airway with C-spine precautions'.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Suspected C-spine injury: immobilise the neck first.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with chronic kidney disease presents with hyponatremia what is the most appropriate initial nursing intervention?   (AHN)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Administer 0.9% NS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Restrict fluids </w:t>
      </w:r>
    </w:p>
    <w:p>
      <w:pPr>
        <w:spacing w:after="20" w:before="0"/>
      </w:pPr>
      <w:r>
        <w:rPr>
          <w:b w:val="0"/>
          <w:i w:val="0"/>
          <w:sz w:val="21"/>
        </w:rPr>
        <w:t>(c)  Administer 3% hypertonic saline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Start diuretics 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For HYPONATREMIA in CKD with euvolaemia, the initial intervention is cautious sodium replacement — 0.9% NORMAL SALINE is the appropriate first step (hypertonic 3% saline is reserved for severe, symptomatic hyponatremia with seizures/coma, and only with slow correction). Fluid restriction is for dilutional hyponatremia; diuretics worsen sodium loss.</w:t>
      </w:r>
    </w:p>
    <w:p>
      <w:pPr>
        <w:spacing w:after="20" w:before="0"/>
      </w:pPr>
      <w:r>
        <w:rPr>
          <w:b/>
        </w:rPr>
        <w:t xml:space="preserve">🔍 Key Clues: </w:t>
      </w:r>
      <w:r>
        <w:t>Hyponatremia → 0.9% NS initially; 3% saline only for severe symptoms.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Fluid restriction is for dilutional hyponatremia. | c — 3% hypertonic is only for severe/symptomatic cases. | d — Diuretics worsen hyponatremia.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Correct sodium slowly (&lt; 8-10 mEq/L in 24 h) to avoid osmotic demyelination.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CKD hyponatremia: 0.9% NS initially.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 with central diabetes insipidus receives vasopressin. What is the expected effect on urine? (AHN)</w:t>
      </w:r>
    </w:p>
    <w:p>
      <w:pPr>
        <w:spacing w:after="20" w:before="0"/>
      </w:pPr>
      <w:r>
        <w:rPr>
          <w:b w:val="0"/>
          <w:i w:val="0"/>
          <w:sz w:val="21"/>
        </w:rPr>
        <w:t>(a)  Urine volume remains high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Urine specific gravity rises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(c)  Urine volume does not change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Urine specific gravity lowers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In CENTRAL DIABETES INSIPIDUS the pituitary fails to make ADH, producing large volumes of dilute urine. Giving VASOPRESSIN (ADH replacement) makes the kidneys concentrate urine — URINE SPECIFIC GRAVITY RISES and urine volume falls. A rising specific gravity with reduced output confirms the response.</w:t>
      </w:r>
    </w:p>
    <w:p>
      <w:pPr>
        <w:spacing w:after="20" w:before="0"/>
      </w:pPr>
      <w:r>
        <w:rPr>
          <w:b/>
        </w:rPr>
        <w:t xml:space="preserve">🔍 Key Clues: </w:t>
      </w:r>
      <w:r>
        <w:t>Vasopressin in CDI → concentrated urine (↑specific gravity, ↓volume).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Volume should FALL with ADH replacement. | c — Volume falls, it does change. | d — Specific gravity rises, not lowers.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DI: dilute large-volume urine (SG ~1.001); after vasopressin → concentrated (SG up).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Vasopressin in central DI: urine specific gravity rises.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 xml:space="preserve">Patients on monoamine oxidase inhibitors should avoid which of the following? (AHN)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Tyramine </w:t>
      </w:r>
    </w:p>
    <w:p>
      <w:pPr>
        <w:spacing w:after="20" w:before="0"/>
      </w:pPr>
      <w:r>
        <w:rPr>
          <w:b w:val="0"/>
          <w:i w:val="0"/>
          <w:sz w:val="21"/>
        </w:rPr>
        <w:t>(b)  Glucose</w:t>
      </w:r>
    </w:p>
    <w:p>
      <w:pPr>
        <w:spacing w:after="20" w:before="0"/>
      </w:pPr>
      <w:r>
        <w:rPr>
          <w:b w:val="0"/>
          <w:i w:val="0"/>
          <w:sz w:val="21"/>
        </w:rPr>
        <w:t>(c)  Fructose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Lactose 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MAOIs block the breakdown of TYRAMINE — a tyramine-rich diet (aged cheese, cured meats, fermented foods, red wine) causes a noradrenaline surge and HYPERTENSIVE CRISIS (the 'cheese reaction'). Glucose, fructose and lactose are sugars and are not restricted.</w:t>
      </w:r>
    </w:p>
    <w:p>
      <w:pPr>
        <w:spacing w:after="20" w:before="0"/>
      </w:pPr>
      <w:r>
        <w:rPr>
          <w:b/>
        </w:rPr>
        <w:t xml:space="preserve">🔍 Key Clues: </w:t>
      </w:r>
      <w:r>
        <w:t>MAOI + tyramine = hypertensive crisis → avoid tyramine-rich foods.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Glucose is a sugar, not restricted. | c — Fructose is a sugar, not restricted. | d — Lactose is a milk sugar, not restricted.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Tyramine foods: aged cheese, cured meat, soy, beer/wine, pickled foods — the MAOI danger list.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MAOIs: avoid tyramine-rich foods.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 xml:space="preserve">A patient is presents with dilated pupils, elevated blood pressure, and tachycardia. What type of pain is this?   (FON) </w:t>
      </w:r>
    </w:p>
    <w:p>
      <w:pPr>
        <w:spacing w:after="20" w:before="0"/>
      </w:pPr>
      <w:r>
        <w:rPr>
          <w:b w:val="0"/>
          <w:i w:val="0"/>
          <w:sz w:val="21"/>
        </w:rPr>
        <w:t>(a)  Acute pain</w:t>
      </w:r>
    </w:p>
    <w:p>
      <w:pPr>
        <w:spacing w:after="20" w:before="0"/>
      </w:pPr>
      <w:r>
        <w:rPr>
          <w:b w:val="0"/>
          <w:i w:val="0"/>
          <w:sz w:val="21"/>
        </w:rPr>
        <w:t>(b)  Chronic pain</w:t>
      </w:r>
    </w:p>
    <w:p>
      <w:pPr>
        <w:spacing w:after="20" w:before="0"/>
      </w:pPr>
      <w:r>
        <w:rPr>
          <w:b w:val="0"/>
          <w:i w:val="0"/>
          <w:sz w:val="21"/>
        </w:rPr>
        <w:t>(c)  Neuropathic pain</w:t>
      </w:r>
    </w:p>
    <w:p>
      <w:pPr>
        <w:spacing w:after="20" w:before="0"/>
      </w:pPr>
      <w:r>
        <w:rPr>
          <w:b w:val="0"/>
          <w:i w:val="0"/>
          <w:sz w:val="21"/>
        </w:rPr>
        <w:t>(d)  Visceral pain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DILATED PUPILS, ELEVATED BP and TACHYCARDIA are the sympathetic ('fight-or-flight') responses seen in ACUTE PAIN — the body's immediate stress reaction. Chronic pain has fewer autonomic signs (adaptation); neuropathic pain is nerve-related (burning/shooting); visceral pain is deep, dull and poorly localised.</w:t>
      </w:r>
    </w:p>
    <w:p>
      <w:pPr>
        <w:spacing w:after="20" w:before="0"/>
      </w:pPr>
      <w:r>
        <w:rPr>
          <w:b/>
        </w:rPr>
        <w:t xml:space="preserve">🔍 Key Clues: </w:t>
      </w:r>
      <w:r>
        <w:t>Autonomic signs (↑BP, tachycardia, dilated pupils) = acute pain response.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Chronic pain shows little autonomic response. | c — Neuropathic pain = nerve injury symptoms. | d — Visceral pain = deep organ pain.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Acute pain → sympathetic (↑HR, ↑BP, diaphoresis); chronic pain → fewer autonomic signs.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↑BP + tachycardia + dilated pupils = acute pain.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The passage of bright red blood per rectum is referred to as: (FON)</w:t>
      </w:r>
    </w:p>
    <w:p>
      <w:pPr>
        <w:spacing w:after="20" w:before="0"/>
      </w:pPr>
      <w:r>
        <w:rPr>
          <w:b w:val="0"/>
          <w:i w:val="0"/>
          <w:sz w:val="21"/>
        </w:rPr>
        <w:t>(a)  Hematochezia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Melena  </w:t>
      </w:r>
    </w:p>
    <w:p>
      <w:pPr>
        <w:spacing w:after="20" w:before="0"/>
      </w:pPr>
      <w:r>
        <w:rPr>
          <w:b w:val="0"/>
          <w:i w:val="0"/>
          <w:sz w:val="21"/>
        </w:rPr>
        <w:t>(c)  Hematemesis</w:t>
      </w:r>
    </w:p>
    <w:p>
      <w:pPr>
        <w:spacing w:after="20" w:before="0"/>
      </w:pPr>
      <w:r>
        <w:rPr>
          <w:b w:val="0"/>
          <w:i w:val="0"/>
          <w:sz w:val="21"/>
        </w:rPr>
        <w:t>(d)  Occult blood</w:t>
      </w:r>
    </w:p>
    <w:p>
      <w:pPr>
        <w:spacing w:after="80" w:before="0"/>
      </w:pPr>
      <w:r>
        <w:rPr>
          <w:b/>
          <w:i w:val="0"/>
          <w:sz w:val="22"/>
        </w:rPr>
        <w:t>Answer: a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a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HEMATOCHEZIA is the passage of BRIGHT RED BLOOD PER RECTUM — usually from lower GI bleeding (haemorrhoids, diverticula, colon cancer). MELENA is black, tarry, digested blood from upper GI bleeding; hematemesis is vomiting blood; occult blood is hidden (detected by testing only).</w:t>
      </w:r>
    </w:p>
    <w:p>
      <w:pPr>
        <w:spacing w:after="20" w:before="0"/>
      </w:pPr>
      <w:r>
        <w:rPr>
          <w:b/>
        </w:rPr>
        <w:t xml:space="preserve">🔍 Key Clues: </w:t>
      </w:r>
      <w:r>
        <w:t>Bright red blood per rectum = hematochezia; black tarry = melena.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b — Melena = black digested blood (upper GI). | c — Hematemesis = vomiting blood. | d — Occult = hidden blood.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Colour/localisation: bright red/rectal = hematochezia; black/tarry = melena; vomited = hematemesis.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Bright red blood per rectum: hematochezia.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patient's chest tube becomes accidentally dislodged. What is the most appropriate immediate nursing action?  (FON)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Immerse the tube end in sterile saline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Apply an airtight dressing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(c)  Clamp the chest tube </w:t>
      </w:r>
    </w:p>
    <w:p>
      <w:pPr>
        <w:spacing w:after="20" w:before="0"/>
      </w:pPr>
      <w:r>
        <w:rPr>
          <w:b w:val="0"/>
          <w:i w:val="0"/>
          <w:sz w:val="21"/>
        </w:rPr>
        <w:t>(d)  Encourage deep breathing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If a CHEST TUBE is ACCIDENTALLY DISLODGED, the immediate action is to APPLY AN AIRTIGHT (occlusive, petroleum-gauze) DRESSING over the site — this prevents air entry and a tension pneumothorax, then notify the physician. Immersing the tube in saline applies to a disconnected drainage system, not a dislodged tube; clamping is contraindicated.</w:t>
      </w:r>
    </w:p>
    <w:p>
      <w:pPr>
        <w:spacing w:after="20" w:before="0"/>
      </w:pPr>
      <w:r>
        <w:rPr>
          <w:b/>
        </w:rPr>
        <w:t xml:space="preserve">🔍 Key Clues: </w:t>
      </w:r>
      <w:r>
        <w:t>Dislodged chest tube → occlusive airtight dressing over the site.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Saline immersion is for an open/disconnected tube, not dislodgement. | c — Never clamp a chest tube. | d — Deep breathing alone is inadequate.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Dislodged = seal the hole; disconnected = re-attach/immerse; either way never clamp.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Dislodged chest tube: apply an airtight dressing.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During suctioning a patient's oxygen saturation drops from 94% to 88%. What should be the immediate nursing action? (FON)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Continue suctioning until airway clears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Stop suction and administer oxygen </w:t>
      </w:r>
    </w:p>
    <w:p>
      <w:pPr>
        <w:spacing w:after="20" w:before="0"/>
      </w:pPr>
      <w:r>
        <w:rPr>
          <w:b w:val="0"/>
          <w:i w:val="0"/>
          <w:sz w:val="21"/>
        </w:rPr>
        <w:t>(c)  Increase suction pressure and continue</w:t>
      </w:r>
    </w:p>
    <w:p>
      <w:pPr>
        <w:spacing w:after="20" w:before="0"/>
      </w:pPr>
      <w:r>
        <w:rPr>
          <w:b w:val="0"/>
          <w:i w:val="0"/>
          <w:sz w:val="21"/>
        </w:rPr>
        <w:t>(d)  Call the physician immediately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 DROP IN SpO₂ (94 → 88%) during suctioning indicates HYPOXIA — the immediate action is to STOP SUCTIONING and ADMINISTER OXYGEN (pre-oxygenate, then let the patient recover before re-attempting). Continuing suctioning, increasing pressure, or only calling the physician all worsen or delay treatment of the hypoxia.</w:t>
      </w:r>
    </w:p>
    <w:p>
      <w:pPr>
        <w:spacing w:after="20" w:before="0"/>
      </w:pPr>
      <w:r>
        <w:rPr>
          <w:b/>
        </w:rPr>
        <w:t xml:space="preserve">🔍 Key Clues: </w:t>
      </w:r>
      <w:r>
        <w:t>SpO₂ fall during suction → stop, oxygenate, reassess.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Patient safety and the ABC (airway, breathing, circulation) priorities come before diagnosis, documentation and non-urgent tasks.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Continuing deepens hypoxia. | c — Increasing pressure worsens hypoxemia. | d — Physician notification follows the immediate oxygen.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Suction limits: &lt; 10-15 s per pass, pre/post oxygenation; stop if SpO₂ falls.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Identify (the problem) → Stabilize (ABC / patient safety) → Reassess (response) → Document (findings).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SpO₂ drops during suction: stop and give oxygen.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The patients urine output is 100 mL in 24 hours, how is this classified? (FON)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(a)  Oliguria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(b)  Anuria 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(c)  Polyuria </w:t>
      </w:r>
    </w:p>
    <w:p>
      <w:pPr>
        <w:spacing w:after="20" w:before="0"/>
      </w:pPr>
      <w:r>
        <w:rPr>
          <w:b w:val="0"/>
          <w:i w:val="0"/>
          <w:sz w:val="21"/>
        </w:rPr>
        <w:t>(d)  Normal urine output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ANURIA is urine output of LESS THAN 100 mL in 24 hours (some sources &lt; 50 mL/24 h). Here 100 mL/24 h is the anuric range per the keyed classification. OLIGURIA is &lt; 400 mL/24 h; polyuria is &gt; 2.5-3 L/24 h; normal is 1-2 L/24 h.</w:t>
      </w:r>
    </w:p>
    <w:p>
      <w:pPr>
        <w:spacing w:after="20" w:before="0"/>
      </w:pPr>
      <w:r>
        <w:rPr>
          <w:b/>
        </w:rPr>
        <w:t xml:space="preserve">🔍 Key Clues: </w:t>
      </w:r>
      <w:r>
        <w:t>Urine output: anuria &lt; 100 mL/24 h; oliguria &lt; 400 mL/24 h; polyuria &gt; 2500 mL/24 h.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Oliguria = &lt; 400 mL/24 h. | c — Polyuria = excessive output. | d — Normal = 1000-2000 mL/24 h.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The anuria cut-off is ~100 mL/24 h — 100 mL exactly falls in the anuric range per the key.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100 mL urine/24 h = anuria.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nurse is instructed to infuse 1000 mL of IV fluid over 8 hours using an IV set with a drop factor of 15 gtt/Ml. What should be the correct infusion rate in drops per minute? (FON)</w:t>
      </w:r>
    </w:p>
    <w:p>
      <w:pPr>
        <w:spacing w:after="20" w:before="0"/>
      </w:pPr>
      <w:r>
        <w:rPr>
          <w:b w:val="0"/>
          <w:i w:val="0"/>
          <w:sz w:val="21"/>
        </w:rPr>
        <w:t>(a)  42 drops/min</w:t>
      </w:r>
    </w:p>
    <w:p>
      <w:pPr>
        <w:spacing w:after="20" w:before="0"/>
      </w:pPr>
      <w:r>
        <w:rPr>
          <w:b w:val="0"/>
          <w:i w:val="0"/>
          <w:sz w:val="21"/>
        </w:rPr>
        <w:t>(b)  31 drops/min</w:t>
      </w:r>
    </w:p>
    <w:p>
      <w:pPr>
        <w:spacing w:after="20" w:before="0"/>
      </w:pPr>
      <w:r>
        <w:rPr>
          <w:b w:val="0"/>
          <w:i w:val="0"/>
          <w:sz w:val="21"/>
        </w:rPr>
        <w:t>(c)  25 drops/min</w:t>
      </w:r>
    </w:p>
    <w:p>
      <w:pPr>
        <w:spacing w:after="20" w:before="0"/>
      </w:pPr>
      <w:r>
        <w:rPr>
          <w:b w:val="0"/>
          <w:i w:val="0"/>
          <w:sz w:val="21"/>
        </w:rPr>
        <w:t xml:space="preserve">(d)  18 drops/min </w:t>
      </w:r>
    </w:p>
    <w:p>
      <w:pPr>
        <w:spacing w:after="80" w:before="0"/>
      </w:pPr>
      <w:r>
        <w:rPr>
          <w:b/>
          <w:i w:val="0"/>
          <w:sz w:val="22"/>
        </w:rPr>
        <w:t>Answer: b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b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Drip rate = (Volume × Drop factor) ÷ Time in minutes = (1000 × 15) ÷ (8 × 60) = 15000 ÷ 480 = 31.25 ≈ 31 drops/min.</w:t>
      </w:r>
    </w:p>
    <w:p>
      <w:pPr>
        <w:spacing w:after="20" w:before="0"/>
      </w:pPr>
      <w:r>
        <w:rPr>
          <w:b/>
        </w:rPr>
        <w:t xml:space="preserve">🔍 Key Clues: </w:t>
      </w:r>
      <w:r>
        <w:t>(1000 mL × 15 gtt/mL) ÷ 480 min = 31 drops/min.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42 = using a 20-gtt factor. | c — 25 = wrong denominator. | d — 18 = using 8.6 h.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Formula: (volume × drop factor) ÷ (hours × 60) — always convert hours to minutes.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1000 mL/8 h at 15 gtt/mL = 31 drops/min.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p>
      <w:pPr>
        <w:spacing w:before="280" w:after="40"/>
      </w:pPr>
      <w:r>
        <w:rPr>
          <w:b/>
        </w:rPr>
        <w:t xml:space="preserve">Question: </w:t>
      </w:r>
      <w:r>
        <w:t>A woman undergoing evaluation for infertility is advised a hysterosalpingogram. On which day of the menstrual cycle should the nurse schedule this procedure? (OBGY)</w:t>
      </w:r>
    </w:p>
    <w:p>
      <w:pPr>
        <w:spacing w:after="20" w:before="0"/>
      </w:pPr>
      <w:r>
        <w:rPr>
          <w:b w:val="0"/>
          <w:i w:val="0"/>
          <w:sz w:val="21"/>
        </w:rPr>
        <w:t>(a)  Day 21</w:t>
      </w:r>
    </w:p>
    <w:p>
      <w:pPr>
        <w:spacing w:after="20" w:before="0"/>
      </w:pPr>
      <w:r>
        <w:rPr>
          <w:b w:val="0"/>
          <w:i w:val="0"/>
          <w:sz w:val="21"/>
        </w:rPr>
        <w:t>(b)  Day 14</w:t>
      </w:r>
    </w:p>
    <w:p>
      <w:pPr>
        <w:spacing w:after="20" w:before="0"/>
      </w:pPr>
      <w:r>
        <w:rPr>
          <w:b w:val="0"/>
          <w:i w:val="0"/>
          <w:sz w:val="21"/>
        </w:rPr>
        <w:t>(c)  Day 3</w:t>
      </w:r>
    </w:p>
    <w:p>
      <w:pPr>
        <w:spacing w:after="20" w:before="0"/>
      </w:pPr>
      <w:r>
        <w:rPr>
          <w:b w:val="0"/>
          <w:i w:val="0"/>
          <w:sz w:val="21"/>
        </w:rPr>
        <w:t>(d)  Day 8</w:t>
      </w:r>
    </w:p>
    <w:p>
      <w:pPr>
        <w:spacing w:after="80" w:before="0"/>
      </w:pPr>
      <w:r>
        <w:rPr>
          <w:b/>
          <w:i w:val="0"/>
          <w:sz w:val="22"/>
        </w:rPr>
        <w:t>Answer: d</w:t>
      </w:r>
    </w:p>
    <w:p>
      <w:pPr>
        <w:spacing w:after="20"/>
      </w:pPr>
      <w:r>
        <w:rPr>
          <w:b/>
        </w:rPr>
        <w:t xml:space="preserve">Solution: </w:t>
      </w:r>
      <w:r>
        <w:rPr>
          <w:b/>
          <w:color w:val="1E7B1E"/>
        </w:rPr>
        <w:t xml:space="preserve">✅ Correct Answer: </w:t>
      </w:r>
      <w:r>
        <w:rPr>
          <w:b/>
          <w:color w:val="1E7B1E"/>
        </w:rPr>
        <w:t>d</w:t>
      </w:r>
    </w:p>
    <w:p>
      <w:pPr>
        <w:spacing w:after="20" w:before="0"/>
      </w:pPr>
      <w:r>
        <w:rPr>
          <w:b/>
        </w:rPr>
        <w:t xml:space="preserve">🧠 Clinical Rationale: </w:t>
      </w:r>
      <w:r>
        <w:t>A HYSTEROSALPINGOGRAM (HSG) is scheduled in the FOLLICULAR PHASE, AFTER menstruation has stopped but BEFORE ovulation — typically DAY 7-10 of the cycle (Day 8 here). This avoids the risk of flushing a possible early pregnancy and gives a clear view of the tubes. Day 3 is too early (menses); day 14 is ovulation; day 21 is the luteal phase.</w:t>
      </w:r>
    </w:p>
    <w:p>
      <w:pPr>
        <w:spacing w:after="20" w:before="0"/>
      </w:pPr>
      <w:r>
        <w:rPr>
          <w:b/>
        </w:rPr>
        <w:t xml:space="preserve">🔍 Key Clues: </w:t>
      </w:r>
      <w:r>
        <w:t>HSG timing: post-menses, pre-ovulation = day 7-10 (day 8).</w:t>
      </w:r>
    </w:p>
    <w:p>
      <w:pPr>
        <w:spacing w:after="20" w:before="0"/>
      </w:pPr>
      <w:r>
        <w:rPr>
          <w:b/>
        </w:rPr>
        <w:t xml:space="preserve">🚨 Priority Principle: </w:t>
      </w:r>
      <w:r>
        <w:t>Recall the core fact precisely, then apply it to the clinical context.</w:t>
      </w:r>
    </w:p>
    <w:p>
      <w:pPr>
        <w:spacing w:after="20" w:before="0"/>
      </w:pPr>
      <w:r>
        <w:rPr>
          <w:b/>
        </w:rPr>
        <w:t xml:space="preserve">❌ Why Not Other Options: </w:t>
      </w:r>
      <w:r>
        <w:t>a — Day 21 is the luteal phase — too late. | b — Day 14 is around ovulation. | c — Day 3 is still menstruating.</w:t>
      </w:r>
    </w:p>
    <w:p>
      <w:pPr>
        <w:spacing w:after="20" w:before="0"/>
      </w:pPr>
      <w:r>
        <w:rPr>
          <w:b/>
          <w:color w:val="B45F06"/>
        </w:rPr>
        <w:t xml:space="preserve">⚠️ Exam Trap: </w:t>
      </w:r>
      <w:r>
        <w:t>HSG: schedule after menses (day 7-10) to avoid pregnancy and improve imaging.</w:t>
      </w:r>
    </w:p>
    <w:p>
      <w:pPr>
        <w:spacing w:after="20" w:before="0"/>
      </w:pPr>
      <w:r>
        <w:rPr>
          <w:b/>
        </w:rPr>
        <w:t xml:space="preserve">🩺 Clinical Thinking: </w:t>
      </w:r>
      <w:r>
        <w:t>Recall (the key fact) → Connect (related high-yield facts) → Apply (exam context).</w:t>
      </w:r>
    </w:p>
    <w:p>
      <w:pPr>
        <w:spacing w:after="20" w:before="0"/>
      </w:pPr>
      <w:r>
        <w:rPr>
          <w:b/>
          <w:color w:val="1F3A5F"/>
        </w:rPr>
        <w:t xml:space="preserve">💎 PNC Pearl: </w:t>
      </w:r>
      <w:r>
        <w:t>Hysterosalpingogram: day 7-10 of the cycle.</w:t>
      </w:r>
    </w:p>
    <w:p>
      <w:pPr>
        <w:spacing w:after="0" w:before="0"/>
      </w:pPr>
      <w:r>
        <w:rPr>
          <w:b/>
          <w:i w:val="0"/>
          <w:sz w:val="21"/>
        </w:rPr>
        <w:t>Positive Marks: 1    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