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calcium level is:</w:t>
      </w:r>
    </w:p>
    <w:p>
      <w:r>
        <w:t xml:space="preserve">(a) 8.5–10.5 mg/dL</w:t>
      </w:r>
    </w:p>
    <w:p>
      <w:r>
        <w:t xml:space="preserve">(b) 4–6 mg/dL</w:t>
      </w:r>
    </w:p>
    <w:p>
      <w:r>
        <w:t xml:space="preserve">(c) 12–15 mg/dL</w:t>
      </w:r>
    </w:p>
    <w:p>
      <w:r>
        <w:t xml:space="preserve">(d) 18–20 mg/dL</w:t>
      </w:r>
    </w:p>
    <w:p>
      <w:r>
        <w:t xml:space="preserve">Answer: a</w:t>
      </w:r>
    </w:p>
    <w:p>
      <w:r>
        <w:t xml:space="preserve">Solution: Normal calcium is 8.5–10.5 mg/dL. Hypocalcemia causes tetany; hypercalcemia causes polyuria and arrhythmias. PTH, calcitriol, and calcitonin regulate calcium.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oral care to a patient with a nasogastric tube. The nurse should:</w:t>
      </w:r>
    </w:p>
    <w:p>
      <w:r>
        <w:t xml:space="preserve">(a) Perform oral care every 2 hours and lubricate the lips</w:t>
      </w:r>
    </w:p>
    <w:p>
      <w:r>
        <w:t xml:space="preserve">(b) Skip oral care</w:t>
      </w:r>
    </w:p>
    <w:p>
      <w:r>
        <w:t xml:space="preserve">(c) Use a hard toothbrush</w:t>
      </w:r>
    </w:p>
    <w:p>
      <w:r>
        <w:t xml:space="preserve">(d) Remove the NG tube for care</w:t>
      </w:r>
    </w:p>
    <w:p>
      <w:r>
        <w:t xml:space="preserve">Answer: a</w:t>
      </w:r>
    </w:p>
    <w:p>
      <w:r>
        <w:t xml:space="preserve">Solution: Oral care every 2 hours with a soft brush/sponge, lip lubrication, and assessment of the oral mucosa prevent dryness, infection, and ulceration in patients with NG tubes.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medications. Which statement indicates correct understanding?</w:t>
      </w:r>
    </w:p>
    <w:p>
      <w:r>
        <w:t xml:space="preserve">(a) "I will avoid NSAIDs and check with my doctor before taking any medicine."</w:t>
      </w:r>
    </w:p>
    <w:p>
      <w:r>
        <w:t xml:space="preserve">(b) "I can take any painkiller freely."</w:t>
      </w:r>
    </w:p>
    <w:p>
      <w:r>
        <w:t xml:space="preserve">(c) "I will take extra potassium supplements."</w:t>
      </w:r>
    </w:p>
    <w:p>
      <w:r>
        <w:t xml:space="preserve">(d) "I will stop all my medicines."</w:t>
      </w:r>
    </w:p>
    <w:p>
      <w:r>
        <w:t xml:space="preserve">Answer: a</w:t>
      </w:r>
    </w:p>
    <w:p>
      <w:r>
        <w:t xml:space="preserve">Solution: In CKD, NSAIDs and nephrotoxic drugs are avoided, potassium supplements are not taken without advice, and all medicines (including OTC) are checked with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24 weeks of gestation is being assessed for gestational diabetes risk. Which factor increases the risk?</w:t>
      </w:r>
    </w:p>
    <w:p>
      <w:r>
        <w:t xml:space="preserve">(a) Family history of diabetes and obesity</w:t>
      </w:r>
    </w:p>
    <w:p>
      <w:r>
        <w:t xml:space="preserve">(b) Young age only</w:t>
      </w:r>
    </w:p>
    <w:p>
      <w:r>
        <w:t xml:space="preserve">(c) Low birth weight</w:t>
      </w:r>
    </w:p>
    <w:p>
      <w:r>
        <w:t xml:space="preserve">(d) First pregnancy only</w:t>
      </w:r>
    </w:p>
    <w:p>
      <w:r>
        <w:t xml:space="preserve">Answer: a</w:t>
      </w:r>
    </w:p>
    <w:p>
      <w:r>
        <w:t xml:space="preserve">Solution: GDM risk factors — family history of diabetes, obesity, previous GDM, and macrosomia. At-risk women are screened early; all are screened at 24–28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4-month-old infant is due for immunization. Which vaccines are given at 14 weeks (per UIP)?</w:t>
      </w:r>
    </w:p>
    <w:p>
      <w:r>
        <w:t xml:space="preserve">(a) DPT-3, OPV-3, Hepatitis B-3, and IPV-3 (as per schedule)</w:t>
      </w:r>
    </w:p>
    <w:p>
      <w:r>
        <w:t xml:space="preserve">(b) Measles</w:t>
      </w:r>
    </w:p>
    <w:p>
      <w:r>
        <w:t xml:space="preserve">(c) BCG booster</w:t>
      </w:r>
    </w:p>
    <w:p>
      <w:r>
        <w:t xml:space="preserve">(d) None</w:t>
      </w:r>
    </w:p>
    <w:p>
      <w:r>
        <w:t xml:space="preserve">Answer: a</w:t>
      </w:r>
    </w:p>
    <w:p>
      <w:r>
        <w:t xml:space="preserve">Solution: At 14 weeks, the infant receives DPT-3, OPV-3, and Hepatitis B-3 (and IPV-3 per schedule). BCG and OPV-0 are at birth; measles/MR at 9 months. The nurse follows the immunization schedule.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taught about medication side effects. Which statement indicates understanding?</w:t>
      </w:r>
    </w:p>
    <w:p>
      <w:r>
        <w:t xml:space="preserve">(a) "I will report unusual movements or stiffness to my doctor."</w:t>
      </w:r>
    </w:p>
    <w:p>
      <w:r>
        <w:t xml:space="preserve">(b) "Side effects do not need monitoring."</w:t>
      </w:r>
    </w:p>
    <w:p>
      <w:r>
        <w:t xml:space="preserve">(c) "I will stop the medicine if I have side effects."</w:t>
      </w:r>
    </w:p>
    <w:p>
      <w:r>
        <w:t xml:space="preserve">(d) "Side effects are imaginary."</w:t>
      </w:r>
    </w:p>
    <w:p>
      <w:r>
        <w:t xml:space="preserve">Answer: a</w:t>
      </w:r>
    </w:p>
    <w:p>
      <w:r>
        <w:t xml:space="preserve">Solution: The nurse teaches the patient to report EPS (stiffness, restlessness, tremors) and metabolic changes — these are managed by dose adjustment or medication change. Stopping abruptly causes relapse.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was launched with the objective of:</w:t>
      </w:r>
    </w:p>
    <w:p>
      <w:r>
        <w:t xml:space="preserve">(a) Making quality generic medicines affordable</w:t>
      </w:r>
    </w:p>
    <w:p>
      <w:r>
        <w:t xml:space="preserve">(b) Selling only imported medicines</w:t>
      </w:r>
    </w:p>
    <w:p>
      <w:r>
        <w:t xml:space="preserve">(c) Increasing drug prices</w:t>
      </w:r>
    </w:p>
    <w:p>
      <w:r>
        <w:t xml:space="preserve">(d) Restricting medicine access</w:t>
      </w:r>
    </w:p>
    <w:p>
      <w:r>
        <w:t xml:space="preserve">Answer: a</w:t>
      </w:r>
    </w:p>
    <w:p>
      <w:r>
        <w:t xml:space="preserve">Solution: PMBJP makes quality generic medicines affordable (50–90% cheaper) — reducing out-of-pocket costs and improving access.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24 mg of a medication. The vial contains 6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c</w:t>
      </w:r>
    </w:p>
    <w:p>
      <w:r>
        <w:t xml:space="preserve">Solution: Volume = 24 ÷ 6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large intestine is:</w:t>
      </w:r>
    </w:p>
    <w:p>
      <w:r>
        <w:t xml:space="preserve">(a) Absorption of water and electrolytes</w:t>
      </w:r>
    </w:p>
    <w:p>
      <w:r>
        <w:t xml:space="preserve">(b) Secretion of digestive enzymes</w:t>
      </w:r>
    </w:p>
    <w:p>
      <w:r>
        <w:t xml:space="preserve">(c) Producing bile</w:t>
      </w:r>
    </w:p>
    <w:p>
      <w:r>
        <w:t xml:space="preserve">(d) Filtering blood</w:t>
      </w:r>
    </w:p>
    <w:p>
      <w:r>
        <w:t xml:space="preserve">Answer: a</w:t>
      </w:r>
    </w:p>
    <w:p>
      <w:r>
        <w:t xml:space="preserve">Solution: The large intestine absorbs water/electrolytes and forms feces. The pancreas secretes enzymes; the liver produces bile; the kidneys filter blood.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 of the tibia is placed in a cast. The nurse should teach the patient to:</w:t>
      </w:r>
    </w:p>
    <w:p>
      <w:r>
        <w:t xml:space="preserve">(a) Keep the cast dry and report any pain or numbness</w:t>
      </w:r>
    </w:p>
    <w:p>
      <w:r>
        <w:t xml:space="preserve">(b) Remove the cast in water</w:t>
      </w:r>
    </w:p>
    <w:p>
      <w:r>
        <w:t xml:space="preserve">(c) Scratch under the cast</w:t>
      </w:r>
    </w:p>
    <w:p>
      <w:r>
        <w:t xml:space="preserve">(d) Bear weight immediately</w:t>
      </w:r>
    </w:p>
    <w:p>
      <w:r>
        <w:t xml:space="preserve">Answer: a</w:t>
      </w:r>
    </w:p>
    <w:p>
      <w:r>
        <w:t xml:space="preserve">Solution: Cast care — keep it dry, report neurovascular changes (pain, numbness, pallor), avoid inserting objects, and follow weight-bearing advice.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magnesium level is:</w:t>
      </w:r>
    </w:p>
    <w:p>
      <w:r>
        <w:t xml:space="preserve">(a) 1.5–2.5 mEq/L</w:t>
      </w:r>
    </w:p>
    <w:p>
      <w:r>
        <w:t xml:space="preserve">(b) 5–8 mEq/L</w:t>
      </w:r>
    </w:p>
    <w:p>
      <w:r>
        <w:t xml:space="preserve">(c) 10–15 mEq/L</w:t>
      </w:r>
    </w:p>
    <w:p>
      <w:r>
        <w:t xml:space="preserve">(d) 0.1–0.5 mEq/L</w:t>
      </w:r>
    </w:p>
    <w:p>
      <w:r>
        <w:t xml:space="preserve">Answer: a</w:t>
      </w:r>
    </w:p>
    <w:p>
      <w:r>
        <w:t xml:space="preserve">Solution: Normal magnesium is 1.5–2.5 mEq/L. Hypomagnesemia causes tremors/tetany/arrhythmias; hypermagnesemia (magnesium sulfate) causes loss of reflexes and respiratory depression.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wound drain (Jackson-Pratt). The nurse should:</w:t>
      </w:r>
    </w:p>
    <w:p>
      <w:r>
        <w:t xml:space="preserve">(a) Empty, measure, and record the drainage, restoring suction</w:t>
      </w:r>
    </w:p>
    <w:p>
      <w:r>
        <w:t xml:space="preserve">(b) Leave the bulb full</w:t>
      </w:r>
    </w:p>
    <w:p>
      <w:r>
        <w:t xml:space="preserve">(c) Empty the drainage on the floor</w:t>
      </w:r>
    </w:p>
    <w:p>
      <w:r>
        <w:t xml:space="preserve">(d) Skip recording</w:t>
      </w:r>
    </w:p>
    <w:p>
      <w:r>
        <w:t xml:space="preserve">Answer: a</w:t>
      </w:r>
    </w:p>
    <w:p>
      <w:r>
        <w:t xml:space="preserve">Solution: Jackson-Pratt drain — emptied and measured with aseptic technique, output recorded, and suction (bulb compression) restored. The site is observed for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has developed a pseudocyst. The nurse should monitor for:</w:t>
      </w:r>
    </w:p>
    <w:p>
      <w:r>
        <w:t xml:space="preserve">(a) A palpable abdominal mass and possible rupture</w:t>
      </w:r>
    </w:p>
    <w:p>
      <w:r>
        <w:t xml:space="preserve">(b) Hypoglycemia only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Pancreatic pseudocyst — a fluid collection that may be palpable and can rupture, bleed, or infect. The nurse monitors abdominal size, pain, and signs of rupture (shock, peritonitis).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reports decreased fetal movement. The nurse should:</w:t>
      </w:r>
    </w:p>
    <w:p>
      <w:r>
        <w:t xml:space="preserve">(a) Assess fetal well-being (NST) and notify the physician</w:t>
      </w:r>
    </w:p>
    <w:p>
      <w:r>
        <w:t xml:space="preserve">(b) Reassure the patient</w:t>
      </w:r>
    </w:p>
    <w:p>
      <w:r>
        <w:t xml:space="preserve">(c) Send the patient home</w:t>
      </w:r>
    </w:p>
    <w:p>
      <w:r>
        <w:t xml:space="preserve">(d) Ignore the report</w:t>
      </w:r>
    </w:p>
    <w:p>
      <w:r>
        <w:t xml:space="preserve">Answer: a</w:t>
      </w:r>
    </w:p>
    <w:p>
      <w:r>
        <w:t xml:space="preserve">Solution: Decreased fetal movements warrant fetal assessment (NST, biophysical profile) — reduced movement may indicate fetal compromise. The nurse performs the NST and reports findings.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croup is being assessed. Which finding indicates severe respiratory distress?</w:t>
      </w:r>
    </w:p>
    <w:p>
      <w:r>
        <w:t xml:space="preserve">(a) Stridor at rest with retractions and agitation</w:t>
      </w:r>
    </w:p>
    <w:p>
      <w:r>
        <w:t xml:space="preserve">(b) Mild barking cough only</w:t>
      </w:r>
    </w:p>
    <w:p>
      <w:r>
        <w:t xml:space="preserve">(c) Normal breathing</w:t>
      </w:r>
    </w:p>
    <w:p>
      <w:r>
        <w:t xml:space="preserve">(d) Low-grade fever only</w:t>
      </w:r>
    </w:p>
    <w:p>
      <w:r>
        <w:t xml:space="preserve">Answer: a</w:t>
      </w:r>
    </w:p>
    <w:p>
      <w:r>
        <w:t xml:space="preserve">Solution: Severe croup — stridor at rest, chest retractions, agitation, and hypoxia — requires oxygen, nebulized adrenaline, steroids, and possible ICU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is being discharged on lithium. The nurse should teach the patient to:</w:t>
      </w:r>
    </w:p>
    <w:p>
      <w:r>
        <w:t xml:space="preserve">(a) Maintain consistent fluid and salt intake and attend level monitoring</w:t>
      </w:r>
    </w:p>
    <w:p>
      <w:r>
        <w:t xml:space="preserve">(b) Vary salt intake</w:t>
      </w:r>
    </w:p>
    <w:p>
      <w:r>
        <w:t xml:space="preserve">(c) Skip lithium doses</w:t>
      </w:r>
    </w:p>
    <w:p>
      <w:r>
        <w:t xml:space="preserve">(d) Stop lithium abruptly</w:t>
      </w:r>
    </w:p>
    <w:p>
      <w:r>
        <w:t xml:space="preserve">Answer: a</w:t>
      </w:r>
    </w:p>
    <w:p>
      <w:r>
        <w:t xml:space="preserve">Solution: Lithium requires consistent salt/fluid intake, regular serum level monitoring (0.6–1.2 mEq/L), and reporting of toxicity signs (tremor, vomiting, ataxia, confusion).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outlets are also known as:</w:t>
      </w:r>
    </w:p>
    <w:p>
      <w:r>
        <w:t xml:space="preserve">(a) Jan Aushadhi stores</w:t>
      </w:r>
    </w:p>
    <w:p>
      <w:r>
        <w:t xml:space="preserve">(b) Arogya stores</w:t>
      </w:r>
    </w:p>
    <w:p>
      <w:r>
        <w:t xml:space="preserve">(c) Swasthya stores</w:t>
      </w:r>
    </w:p>
    <w:p>
      <w:r>
        <w:t xml:space="preserve">(d) Seva stores</w:t>
      </w:r>
    </w:p>
    <w:p>
      <w:r>
        <w:t xml:space="preserve">Answer: a</w:t>
      </w:r>
    </w:p>
    <w:p>
      <w:r>
        <w:t xml:space="preserve">Solution: PMBJP outlets are commonly called Jan Aushadhi stores/kendras — selling affordable generic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0.45 mg of a medication. The vial contains 0.15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Volume = 0.45 ÷ 0.15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systolic blood pressure is:</w:t>
      </w:r>
    </w:p>
    <w:p>
      <w:r>
        <w:t xml:space="preserve">(a) Less than 120 mmHg</w:t>
      </w:r>
    </w:p>
    <w:p>
      <w:r>
        <w:t xml:space="preserve">(b) 140–160 mmHg</w:t>
      </w:r>
    </w:p>
    <w:p>
      <w:r>
        <w:t xml:space="preserve">(c) 180–200 mmHg</w:t>
      </w:r>
    </w:p>
    <w:p>
      <w:r>
        <w:t xml:space="preserve">(d) 220 mmHg</w:t>
      </w:r>
    </w:p>
    <w:p>
      <w:r>
        <w:t xml:space="preserve">Answer: a</w:t>
      </w:r>
    </w:p>
    <w:p>
      <w:r>
        <w:t xml:space="preserve">Solution: Normal systolic BP is &lt;120 mmHg. Elevated is 120–129; stage 1 HTN 130–139; stage 2 ≥140. The nurse measures BP accurately.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being discharged. The nurse should teach the patient to:</w:t>
      </w:r>
    </w:p>
    <w:p>
      <w:r>
        <w:t xml:space="preserve">(a) Perform wound care, watch for infection, and use sun protection</w:t>
      </w:r>
    </w:p>
    <w:p>
      <w:r>
        <w:t xml:space="preserve">(b) Stop wound care at home</w:t>
      </w:r>
    </w:p>
    <w:p>
      <w:r>
        <w:t xml:space="preserve">(c) Skip follow-up</w:t>
      </w:r>
    </w:p>
    <w:p>
      <w:r>
        <w:t xml:space="preserve">(d) Expose the wound to dirt</w:t>
      </w:r>
    </w:p>
    <w:p>
      <w:r>
        <w:t xml:space="preserve">Answer: a</w:t>
      </w:r>
    </w:p>
    <w:p>
      <w:r>
        <w:t xml:space="preserve">Solution: Burn discharge teaching — daily wound care, infection signs (redness, purulence, fever), pressure garments/scar management, sun protection, nutrition, and follow-up.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