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potassium level is:</w:t>
      </w:r>
    </w:p>
    <w:p>
      <w:r>
        <w:t xml:space="preserve">(a) 3.5–5.0 mEq/L</w:t>
      </w:r>
    </w:p>
    <w:p>
      <w:r>
        <w:t xml:space="preserve">(b) 6.5–8.0 mEq/L</w:t>
      </w:r>
    </w:p>
    <w:p>
      <w:r>
        <w:t xml:space="preserve">(c) 1.5–2.5 mEq/L</w:t>
      </w:r>
    </w:p>
    <w:p>
      <w:r>
        <w:t xml:space="preserve">(d) 8.5–10 mEq/L</w:t>
      </w:r>
    </w:p>
    <w:p>
      <w:r>
        <w:t xml:space="preserve">Answer: a</w:t>
      </w:r>
    </w:p>
    <w:p>
      <w:r>
        <w:t xml:space="preserve">Solution: Normal potassium is 3.5–5.0 mEq/L. Hypokalemia causes weakness/arrhythmias; hyperkalemia causes peaked T waves and cardiac arrest.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with a pressure injury. Which dressing type is used for a wound with necrotic tissue?</w:t>
      </w:r>
    </w:p>
    <w:p>
      <w:r>
        <w:t xml:space="preserve">(a) Debridement (enzymatic/mechanical) followed by an appropriate dressing</w:t>
      </w:r>
    </w:p>
    <w:p>
      <w:r>
        <w:t xml:space="preserve">(b) A dry gauze only</w:t>
      </w:r>
    </w:p>
    <w:p>
      <w:r>
        <w:t xml:space="preserve">(c) No dressing</w:t>
      </w:r>
    </w:p>
    <w:p>
      <w:r>
        <w:t xml:space="preserve">(d) A tight occlusive dressing alone</w:t>
      </w:r>
    </w:p>
    <w:p>
      <w:r>
        <w:t xml:space="preserve">Answer: a</w:t>
      </w:r>
    </w:p>
    <w:p>
      <w:r>
        <w:t xml:space="preserve">Solution: Necrotic tissue is debrided (surgical, enzymatic, or autolytic) before healing can occur — the nurse follows the wound care plan and monitors for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anemia. The nurse should explain that renal anemia is due to:</w:t>
      </w:r>
    </w:p>
    <w:p>
      <w:r>
        <w:t xml:space="preserve">(a) Decreased erythropoietin production by the kidneys</w:t>
      </w:r>
    </w:p>
    <w:p>
      <w:r>
        <w:t xml:space="preserve">(b) Excessive iron intake</w:t>
      </w:r>
    </w:p>
    <w:p>
      <w:r>
        <w:t xml:space="preserve">(c) Increased RBC production</w:t>
      </w:r>
    </w:p>
    <w:p>
      <w:r>
        <w:t xml:space="preserve">(d) Vitamin C excess</w:t>
      </w:r>
    </w:p>
    <w:p>
      <w:r>
        <w:t xml:space="preserve">Answer: a</w:t>
      </w:r>
    </w:p>
    <w:p>
      <w:r>
        <w:t xml:space="preserve">Solution: The failing kidneys produce less erythropoietin — reducing RBC production and causing anemia. Treatment includes erythropoietin and iron supplementation.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being assessed. The nurse notes the fundal height is 30 cm. This measurement suggests:</w:t>
      </w:r>
    </w:p>
    <w:p>
      <w:r>
        <w:t xml:space="preserve">(a) Possible fetal growth restriction (small for dates)</w:t>
      </w:r>
    </w:p>
    <w:p>
      <w:r>
        <w:t xml:space="preserve">(b) Normal growth</w:t>
      </w:r>
    </w:p>
    <w:p>
      <w:r>
        <w:t xml:space="preserve">(c) Macrosomia</w:t>
      </w:r>
    </w:p>
    <w:p>
      <w:r>
        <w:t xml:space="preserve">(d) Polyhydramnios</w:t>
      </w:r>
    </w:p>
    <w:p>
      <w:r>
        <w:t xml:space="preserve">Answer: a</w:t>
      </w:r>
    </w:p>
    <w:p>
      <w:r>
        <w:t xml:space="preserve">Solution: Fundal height approximates gestational age (cm = weeks at 20–36 weeks). 30 cm at 34 weeks suggests possible growth restriction — the nurse reports for further evaluation (ultrasound).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2-month-old infant is brought with fever and poor feeding. The nurse should:</w:t>
      </w:r>
    </w:p>
    <w:p>
      <w:r>
        <w:t xml:space="preserve">(a) Evaluate for serious bacterial infection</w:t>
      </w:r>
    </w:p>
    <w:p>
      <w:r>
        <w:t xml:space="preserve">(b) Send the infant home</w:t>
      </w:r>
    </w:p>
    <w:p>
      <w:r>
        <w:t xml:space="preserve">(c) Give paracetamol and wait</w:t>
      </w:r>
    </w:p>
    <w:p>
      <w:r>
        <w:t xml:space="preserve">(d) Skip the workup</w:t>
      </w:r>
    </w:p>
    <w:p>
      <w:r>
        <w:t xml:space="preserve">Answer: a</w:t>
      </w:r>
    </w:p>
    <w:p>
      <w:r>
        <w:t xml:space="preserve">Solution: Fever in an infant &lt;3 months may indicate serious bacterial infection — sepsis workup (cultures, LP) and antibiotics are needed.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assessed for medication adherence barriers. Which factor is a common barrier?</w:t>
      </w:r>
    </w:p>
    <w:p>
      <w:r>
        <w:t xml:space="preserve">(a) Side effects and lack of insight</w:t>
      </w:r>
    </w:p>
    <w:p>
      <w:r>
        <w:t xml:space="preserve">(b) Only age</w:t>
      </w:r>
    </w:p>
    <w:p>
      <w:r>
        <w:t xml:space="preserve">(c) Only diet</w:t>
      </w:r>
    </w:p>
    <w:p>
      <w:r>
        <w:t xml:space="preserve">(d) Only weather</w:t>
      </w:r>
    </w:p>
    <w:p>
      <w:r>
        <w:t xml:space="preserve">Answer: a</w:t>
      </w:r>
    </w:p>
    <w:p>
      <w:r>
        <w:t xml:space="preserve">Solution: Side effects, poor insight, stigma, and cost are common adherence barriers — the nurse addresses them through education, simpler regimens, and support.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also known as:</w:t>
      </w:r>
    </w:p>
    <w:p>
      <w:r>
        <w:t xml:space="preserve">(a) Jan Aushadhi Kendra</w:t>
      </w:r>
    </w:p>
    <w:p>
      <w:r>
        <w:t xml:space="preserve">(b) Arogya Bhavan</w:t>
      </w:r>
    </w:p>
    <w:p>
      <w:r>
        <w:t xml:space="preserve">(c) Seva Sadan</w:t>
      </w:r>
    </w:p>
    <w:p>
      <w:r>
        <w:t xml:space="preserve">(d) Jan Seva Kendra</w:t>
      </w:r>
    </w:p>
    <w:p>
      <w:r>
        <w:t xml:space="preserve">Answer: a</w:t>
      </w:r>
    </w:p>
    <w:p>
      <w:r>
        <w:t xml:space="preserve">Solution: PMBJP outlets are called Jan Aushadhi Kendras — affordable generic medicine stores.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44 mg of a medication. The vial contains 11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c</w:t>
      </w:r>
    </w:p>
    <w:p>
      <w:r>
        <w:t xml:space="preserve">Solution: Volume = 44 ÷ 11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liver is:</w:t>
      </w:r>
    </w:p>
    <w:p>
      <w:r>
        <w:t xml:space="preserve">(a) Detoxification, metabolism, and bile production</w:t>
      </w:r>
    </w:p>
    <w:p>
      <w:r>
        <w:t xml:space="preserve">(b) Filtering urine</w:t>
      </w:r>
    </w:p>
    <w:p>
      <w:r>
        <w:t xml:space="preserve">(c) Pumping blood</w:t>
      </w:r>
    </w:p>
    <w:p>
      <w:r>
        <w:t xml:space="preserve">(d) Digestion only</w:t>
      </w:r>
    </w:p>
    <w:p>
      <w:r>
        <w:t xml:space="preserve">Answer: a</w:t>
      </w:r>
    </w:p>
    <w:p>
      <w:r>
        <w:t xml:space="preserve">Solution: The liver detoxifies drugs/alcohol, metabolizes nutrients, synthesizes proteins, stores glycogen, and produces bile.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skeletal traction is at risk for pin site infection. The nurse should:</w:t>
      </w:r>
    </w:p>
    <w:p>
      <w:r>
        <w:t xml:space="preserve">(a) Inspect the pin sites for redness, drainage, and pain</w:t>
      </w:r>
    </w:p>
    <w:p>
      <w:r>
        <w:t xml:space="preserve">(b) Ignore the pin sites</w:t>
      </w:r>
    </w:p>
    <w:p>
      <w:r>
        <w:t xml:space="preserve">(c) Remove the pins</w:t>
      </w:r>
    </w:p>
    <w:p>
      <w:r>
        <w:t xml:space="preserve">(d) Apply dirty dressings</w:t>
      </w:r>
    </w:p>
    <w:p>
      <w:r>
        <w:t xml:space="preserve">Answer: a</w:t>
      </w:r>
    </w:p>
    <w:p>
      <w:r>
        <w:t xml:space="preserve">Solution: Pin site care — the nurse inspects for infection (redness, purulence, pain), cleans per protocol with aseptic technique, and reports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sodium level is:</w:t>
      </w:r>
    </w:p>
    <w:p>
      <w:r>
        <w:t xml:space="preserve">(a) 135–145 mEq/L</w:t>
      </w:r>
    </w:p>
    <w:p>
      <w:r>
        <w:t xml:space="preserve">(b) 115–125 mEq/L</w:t>
      </w:r>
    </w:p>
    <w:p>
      <w:r>
        <w:t xml:space="preserve">(c) 155–165 mEq/L</w:t>
      </w:r>
    </w:p>
    <w:p>
      <w:r>
        <w:t xml:space="preserve">(d) 170–180 mEq/L</w:t>
      </w:r>
    </w:p>
    <w:p>
      <w:r>
        <w:t xml:space="preserve">Answer: a</w:t>
      </w:r>
    </w:p>
    <w:p>
      <w:r>
        <w:t xml:space="preserve">Solution: Normal sodium is 135–145 mEq/L — the major extracellular cation regulating water balance.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IV infusion. Which finding indicates infiltration?</w:t>
      </w:r>
    </w:p>
    <w:p>
      <w:r>
        <w:t xml:space="preserve">(a) Swelling, coolness, and pallor at the site with sluggish flow</w:t>
      </w:r>
    </w:p>
    <w:p>
      <w:r>
        <w:t xml:space="preserve">(b) Warmth and a cord along the vein</w:t>
      </w:r>
    </w:p>
    <w:p>
      <w:r>
        <w:t xml:space="preserve">(c) Normal flow</w:t>
      </w:r>
    </w:p>
    <w:p>
      <w:r>
        <w:t xml:space="preserve">(d) Blood return only</w:t>
      </w:r>
    </w:p>
    <w:p>
      <w:r>
        <w:t xml:space="preserve">Answer: a</w:t>
      </w:r>
    </w:p>
    <w:p>
      <w:r>
        <w:t xml:space="preserve">Solution: Infiltration — fluid leaks into tissue — causes swelling, coolness, pallor, and decreased flow. The nurse stops the infusion and restarts at a new site.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pyelonephritis has a temperature of 39.5°C. The nurse should:</w:t>
      </w:r>
    </w:p>
    <w:p>
      <w:r>
        <w:t xml:space="preserve">(a) Give antipyretics, antibiotics, and fluids as ordered</w:t>
      </w:r>
    </w:p>
    <w:p>
      <w:r>
        <w:t xml:space="preserve">(b) Restrict fluids</w:t>
      </w:r>
    </w:p>
    <w:p>
      <w:r>
        <w:t xml:space="preserve">(c) Give analgesics only</w:t>
      </w:r>
    </w:p>
    <w:p>
      <w:r>
        <w:t xml:space="preserve">(d) Send the patient home</w:t>
      </w:r>
    </w:p>
    <w:p>
      <w:r>
        <w:t xml:space="preserve">Answer: a</w:t>
      </w:r>
    </w:p>
    <w:p>
      <w:r>
        <w:t xml:space="preserve">Solution: Pyelonephritis — antibiotics, increased fluids, antipyretics, and monitoring of temperature and urine output; the nurse watches for sepsis.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 for fetal lie. A longitudinal lie with a vertex presentation is:</w:t>
      </w:r>
    </w:p>
    <w:p>
      <w:r>
        <w:t xml:space="preserve">(a) Normal for delivery</w:t>
      </w:r>
    </w:p>
    <w:p>
      <w:r>
        <w:t xml:space="preserve">(b) A breech presentation</w:t>
      </w:r>
    </w:p>
    <w:p>
      <w:r>
        <w:t xml:space="preserve">(c) A transverse lie</w:t>
      </w:r>
    </w:p>
    <w:p>
      <w:r>
        <w:t xml:space="preserve">(d) A contraindication to delivery</w:t>
      </w:r>
    </w:p>
    <w:p>
      <w:r>
        <w:t xml:space="preserve">Answer: a</w:t>
      </w:r>
    </w:p>
    <w:p>
      <w:r>
        <w:t xml:space="preserve">Solution: A longitudinal lie with cephalic (vertex) presentation is normal and favorable for vaginal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diarrhea has no dehydration. The nurse should teach the mother to:</w:t>
      </w:r>
    </w:p>
    <w:p>
      <w:r>
        <w:t xml:space="preserve">(a) Give ORS after each loose stool and continue feeding</w:t>
      </w:r>
    </w:p>
    <w:p>
      <w:r>
        <w:t xml:space="preserve">(b) Give IV fluids</w:t>
      </w:r>
    </w:p>
    <w:p>
      <w:r>
        <w:t xml:space="preserve">(c) Stop feeding</w:t>
      </w:r>
    </w:p>
    <w:p>
      <w:r>
        <w:t xml:space="preserve">(d) Give antidiarrheals</w:t>
      </w:r>
    </w:p>
    <w:p>
      <w:r>
        <w:t xml:space="preserve">Answer: a</w:t>
      </w:r>
    </w:p>
    <w:p>
      <w:r>
        <w:t xml:space="preserve">Solution: Plan A — ORS after each loose stool (~10 mL/kg), extra fluids, continued feeding, and advice on when to return.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is being taught about lithium. The nurse should teach the patient to:</w:t>
      </w:r>
    </w:p>
    <w:p>
      <w:r>
        <w:t xml:space="preserve">(a) Maintain consistent salt/fluid intake and monitor levels</w:t>
      </w:r>
    </w:p>
    <w:p>
      <w:r>
        <w:t xml:space="preserve">(b) Vary salt intake</w:t>
      </w:r>
    </w:p>
    <w:p>
      <w:r>
        <w:t xml:space="preserve">(c) Skip lithium</w:t>
      </w:r>
    </w:p>
    <w:p>
      <w:r>
        <w:t xml:space="preserve">(d) Stop abruptly</w:t>
      </w:r>
    </w:p>
    <w:p>
      <w:r>
        <w:t xml:space="preserve">Answer: a</w:t>
      </w:r>
    </w:p>
    <w:p>
      <w:r>
        <w:t xml:space="preserve">Solution: Lithium — consistent sodium/fluid intake, regular serum levels (0.6–1.2 mEq/L), and reporting toxicity signs (tremor, vomiting, ataxia, confusion).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provides medicines for:</w:t>
      </w:r>
    </w:p>
    <w:p>
      <w:r>
        <w:t xml:space="preserve">(a) Common and chronic diseases at low cost</w:t>
      </w:r>
    </w:p>
    <w:p>
      <w:r>
        <w:t xml:space="preserve">(b) Only cosmetic products</w:t>
      </w:r>
    </w:p>
    <w:p>
      <w:r>
        <w:t xml:space="preserve">(c) Only veterinary use</w:t>
      </w:r>
    </w:p>
    <w:p>
      <w:r>
        <w:t xml:space="preserve">(d) No diseases</w:t>
      </w:r>
    </w:p>
    <w:p>
      <w:r>
        <w:t xml:space="preserve">Answer: a</w:t>
      </w:r>
    </w:p>
    <w:p>
      <w:r>
        <w:t xml:space="preserve">Solution: Jan Aushadhi Kendras stock medicines for common and chronic diseases — diabetes, hypertension, infections — at affordable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0.4 mg of a medication. The vial contains 0.16 mg/mL. The volume to give is:</w:t>
      </w:r>
    </w:p>
    <w:p>
      <w:r>
        <w:t xml:space="preserve">(a) 2 mL</w:t>
      </w:r>
    </w:p>
    <w:p>
      <w:r>
        <w:t xml:space="preserve">(b) 2.5 mL</w:t>
      </w:r>
    </w:p>
    <w:p>
      <w:r>
        <w:t xml:space="preserve">(c) 3 mL</w:t>
      </w:r>
    </w:p>
    <w:p>
      <w:r>
        <w:t xml:space="preserve">(d) 3.5 mL</w:t>
      </w:r>
    </w:p>
    <w:p>
      <w:r>
        <w:t xml:space="preserve">Answer: b</w:t>
      </w:r>
    </w:p>
    <w:p>
      <w:r>
        <w:t xml:space="preserve">Solution: Volume = 0.4 ÷ 0.16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temperature (axillary) is approximately:</w:t>
      </w:r>
    </w:p>
    <w:p>
      <w:r>
        <w:t xml:space="preserve">(a) 36–37°C</w:t>
      </w:r>
    </w:p>
    <w:p>
      <w:r>
        <w:t xml:space="preserve">(b) 39–40°C</w:t>
      </w:r>
    </w:p>
    <w:p>
      <w:r>
        <w:t xml:space="preserve">(c) 34–35°C</w:t>
      </w:r>
    </w:p>
    <w:p>
      <w:r>
        <w:t xml:space="preserve">(d) 42°C</w:t>
      </w:r>
    </w:p>
    <w:p>
      <w:r>
        <w:t xml:space="preserve">Answer: a</w:t>
      </w:r>
    </w:p>
    <w:p>
      <w:r>
        <w:t xml:space="preserve">Solution: Axillary temperature is about 0.5°C lower than oral — normally 36–37°C.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being assessed for fluid requirements. The nurse uses which formula?</w:t>
      </w:r>
    </w:p>
    <w:p>
      <w:r>
        <w:t xml:space="preserve">(a) Parkland formula (4 mL/kg/%TBSA)</w:t>
      </w:r>
    </w:p>
    <w:p>
      <w:r>
        <w:t xml:space="preserve">(b) Holliday-Segar formula</w:t>
      </w:r>
    </w:p>
    <w:p>
      <w:r>
        <w:t xml:space="preserve">(c) Rule of palms only</w:t>
      </w:r>
    </w:p>
    <w:p>
      <w:r>
        <w:t xml:space="preserve">(d) No formula</w:t>
      </w:r>
    </w:p>
    <w:p>
      <w:r>
        <w:t xml:space="preserve">Answer: a</w:t>
      </w:r>
    </w:p>
    <w:p>
      <w:r>
        <w:t xml:space="preserve">Solution: The Parkland formula — 4 mL/kg/%TBSA of Ringer's lactate in the first 24 hours (half in the first 8 hours) — guides burn resuscitation.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