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After cholecystectomy, the client is typically started on:</w:t>
      </w:r>
    </w:p>
    <w:p>
      <w:r>
        <w:t xml:space="preserve">(a) A high-fat diet</w:t>
      </w:r>
    </w:p>
    <w:p>
      <w:r>
        <w:t xml:space="preserve">(b) Fried foods</w:t>
      </w:r>
    </w:p>
    <w:p>
      <w:r>
        <w:t xml:space="preserve">(c) A low-fat diet</w:t>
      </w:r>
    </w:p>
    <w:p>
      <w:r>
        <w:t xml:space="preserve">(d) Nothing for a week</w:t>
      </w:r>
    </w:p>
    <w:p>
      <w:r>
        <w:t xml:space="preserve">Answer: c</w:t>
      </w:r>
    </w:p>
    <w:p>
      <w:r>
        <w:t xml:space="preserve">Solution: A low-fat diet reduces biliary stimulation and discomfort after gallbladder surgery; fat is gradually reintroduced as tolerated.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counts a client's respirations without the client knowing because:</w:t>
      </w:r>
    </w:p>
    <w:p>
      <w:r>
        <w:t xml:space="preserve">(a) Awareness can alter the rate and depth of breathing</w:t>
      </w:r>
    </w:p>
    <w:p>
      <w:r>
        <w:t xml:space="preserve">(b) It saves time</w:t>
      </w:r>
    </w:p>
    <w:p>
      <w:r>
        <w:t xml:space="preserve">(c) Respirations are not important</w:t>
      </w:r>
    </w:p>
    <w:p>
      <w:r>
        <w:t xml:space="preserve">(d) The client cannot breathe otherwise</w:t>
      </w:r>
    </w:p>
    <w:p>
      <w:r>
        <w:t xml:space="preserve">Answer: a</w:t>
      </w:r>
    </w:p>
    <w:p>
      <w:r>
        <w:t xml:space="preserve">Solution: Clients unconsciously change their breathing when they know it is being counted, so the nurse observes respirations while appearing to count the pulse.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"Lightening" in late pregnancy refers to:</w:t>
      </w:r>
    </w:p>
    <w:p>
      <w:r>
        <w:t xml:space="preserve">(a) The baby turning breech</w:t>
      </w:r>
    </w:p>
    <w:p>
      <w:r>
        <w:t xml:space="preserve">(b) Increased fundal pressure</w:t>
      </w:r>
    </w:p>
    <w:p>
      <w:r>
        <w:t xml:space="preserve">(c) Onset of contractions</w:t>
      </w:r>
    </w:p>
    <w:p>
      <w:r>
        <w:t xml:space="preserve">(d) Descent of the fetal head into the pelvis</w:t>
      </w:r>
    </w:p>
    <w:p>
      <w:r>
        <w:t xml:space="preserve">Answer: d</w:t>
      </w:r>
    </w:p>
    <w:p>
      <w:r>
        <w:t xml:space="preserve">Solution: Lightening is the descent of the presenting part into the true pelvis, easing breathing but increasing pelvic pressure and urinary frequency.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mother is taught that after each loose stool, a child with mild dehydration should receive:</w:t>
      </w:r>
    </w:p>
    <w:p>
      <w:r>
        <w:t xml:space="preserve">(a) Nothing</w:t>
      </w:r>
    </w:p>
    <w:p>
      <w:r>
        <w:t xml:space="preserve">(b) Extra ORS</w:t>
      </w:r>
    </w:p>
    <w:p>
      <w:r>
        <w:t xml:space="preserve">(c) Only plain water</w:t>
      </w:r>
    </w:p>
    <w:p>
      <w:r>
        <w:t xml:space="preserve">(d) Milk only</w:t>
      </w:r>
    </w:p>
    <w:p>
      <w:r>
        <w:t xml:space="preserve">Answer: b</w:t>
      </w:r>
    </w:p>
    <w:p>
      <w:r>
        <w:t xml:space="preserve">Solution: Under Plan A, extra ORS is given after each loose stool to replace ongoing losses and prevent dehydration.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When communicating with a manic client, the nurse should:</w:t>
      </w:r>
    </w:p>
    <w:p>
      <w:r>
        <w:t xml:space="preserve">(a) Use long complex sentences</w:t>
      </w:r>
    </w:p>
    <w:p>
      <w:r>
        <w:t xml:space="preserve">(b) Argue with the client</w:t>
      </w:r>
    </w:p>
    <w:p>
      <w:r>
        <w:t xml:space="preserve">(c) Speak in short, calm, concrete statements</w:t>
      </w:r>
    </w:p>
    <w:p>
      <w:r>
        <w:t xml:space="preserve">(d) Whisper constantly</w:t>
      </w:r>
    </w:p>
    <w:p>
      <w:r>
        <w:t xml:space="preserve">Answer: c</w:t>
      </w:r>
    </w:p>
    <w:p>
      <w:r>
        <w:t xml:space="preserve">Solution: Short, calm, concrete statements reduce stimulation and help the manic client focus; complex talk and arguing increase agitation.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correct order of the referral system in India is:</w:t>
      </w:r>
    </w:p>
    <w:p>
      <w:r>
        <w:t xml:space="preserve">(a) Sub-centre to PHC to CHC to district hospital</w:t>
      </w:r>
    </w:p>
    <w:p>
      <w:r>
        <w:t xml:space="preserve">(b) District hospital to sub-centre</w:t>
      </w:r>
    </w:p>
    <w:p>
      <w:r>
        <w:t xml:space="preserve">(c) PHC to village</w:t>
      </w:r>
    </w:p>
    <w:p>
      <w:r>
        <w:t xml:space="preserve">(d) CHC to sub-centre</w:t>
      </w:r>
    </w:p>
    <w:p>
      <w:r>
        <w:t xml:space="preserve">Answer: a</w:t>
      </w:r>
    </w:p>
    <w:p>
      <w:r>
        <w:t xml:space="preserve">Solution: Clients are referred upward: sub-centre to primary health centre, then to community health centre, then to the district hospital.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Hypokalemia increases the risk of toxicity of which drug?</w:t>
      </w:r>
    </w:p>
    <w:p>
      <w:r>
        <w:t xml:space="preserve">(a) Paracetamol</w:t>
      </w:r>
    </w:p>
    <w:p>
      <w:r>
        <w:t xml:space="preserve">(b) Amoxicillin</w:t>
      </w:r>
    </w:p>
    <w:p>
      <w:r>
        <w:t xml:space="preserve">(c) Omeprazole</w:t>
      </w:r>
    </w:p>
    <w:p>
      <w:r>
        <w:t xml:space="preserve">(d) Digoxin</w:t>
      </w:r>
    </w:p>
    <w:p>
      <w:r>
        <w:t xml:space="preserve">Answer: d</w:t>
      </w:r>
    </w:p>
    <w:p>
      <w:r>
        <w:t xml:space="preserve">Solution: Low potassium sensitizes the myocardium to digoxin, so hypokalemia greatly increases digoxin toxicity risk.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primary muscle of respiration is the:</w:t>
      </w:r>
    </w:p>
    <w:p>
      <w:r>
        <w:t xml:space="preserve">(a) Pectoralis major</w:t>
      </w:r>
    </w:p>
    <w:p>
      <w:r>
        <w:t xml:space="preserve">(b) Diaphragm</w:t>
      </w:r>
    </w:p>
    <w:p>
      <w:r>
        <w:t xml:space="preserve">(c) Trapezius</w:t>
      </w:r>
    </w:p>
    <w:p>
      <w:r>
        <w:t xml:space="preserve">(d) Gluteus maximus</w:t>
      </w:r>
    </w:p>
    <w:p>
      <w:r>
        <w:t xml:space="preserve">Answer: b</w:t>
      </w:r>
    </w:p>
    <w:p>
      <w:r>
        <w:t xml:space="preserve">Solution: The diaphragm provides the main force for inspiration; accessory muscles assist only during exertion or distress.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vegetarian client with iron-deficiency anemia should be encouraged to eat:</w:t>
      </w:r>
    </w:p>
    <w:p>
      <w:r>
        <w:t xml:space="preserve">(a) Milk and cheese</w:t>
      </w:r>
    </w:p>
    <w:p>
      <w:r>
        <w:t xml:space="preserve">(b) White bread</w:t>
      </w:r>
    </w:p>
    <w:p>
      <w:r>
        <w:t xml:space="preserve">(c) Legumes, leafy greens, and vitamin C foods</w:t>
      </w:r>
    </w:p>
    <w:p>
      <w:r>
        <w:t xml:space="preserve">(d) Sugar</w:t>
      </w:r>
    </w:p>
    <w:p>
      <w:r>
        <w:t xml:space="preserve">Answer: c</w:t>
      </w:r>
    </w:p>
    <w:p>
      <w:r>
        <w:t xml:space="preserve">Solution: Legumes and greens provide non-heme iron, and vitamin C foods enhance its absorption; milk and dairy are poor iron sources.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HIV is NOT transmitted through:</w:t>
      </w:r>
    </w:p>
    <w:p>
      <w:r>
        <w:t xml:space="preserve">(a) Casual contact such as shaking hands</w:t>
      </w:r>
    </w:p>
    <w:p>
      <w:r>
        <w:t xml:space="preserve">(b) Unprotected sexual intercourse</w:t>
      </w:r>
    </w:p>
    <w:p>
      <w:r>
        <w:t xml:space="preserve">(c) Contaminated blood transfusion</w:t>
      </w:r>
    </w:p>
    <w:p>
      <w:r>
        <w:t xml:space="preserve">(d) Mother-to-child during pregnancy</w:t>
      </w:r>
    </w:p>
    <w:p>
      <w:r>
        <w:t xml:space="preserve">Answer: a</w:t>
      </w:r>
    </w:p>
    <w:p>
      <w:r>
        <w:t xml:space="preserve">Solution: HIV spreads through blood, semen, vaginal fluids, and breast milk — not through casual contact, coughing, or sharing utensils.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A client with a descending colostomy asks about irrigation. The nurse explains that irrigation:</w:t>
      </w:r>
    </w:p>
    <w:p>
      <w:r>
        <w:t xml:space="preserve">(a) Is always painful</w:t>
      </w:r>
    </w:p>
    <w:p>
      <w:r>
        <w:t xml:space="preserve">(b) Replaces the need for a pouch permanently</w:t>
      </w:r>
    </w:p>
    <w:p>
      <w:r>
        <w:t xml:space="preserve">(c) Is done by the doctor only</w:t>
      </w:r>
    </w:p>
    <w:p>
      <w:r>
        <w:t xml:space="preserve">(d) Regulates bowel elimination by flushing the colon on a schedule</w:t>
      </w:r>
    </w:p>
    <w:p>
      <w:r>
        <w:t xml:space="preserve">Answer: d</w:t>
      </w:r>
    </w:p>
    <w:p>
      <w:r>
        <w:t xml:space="preserve">Solution: Irrigation on a regular schedule trains the descending/left colostomy to empty predictably, reducing between-irrigation output.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For a 24-hour urine collection, the nurse should:</w:t>
      </w:r>
    </w:p>
    <w:p>
      <w:r>
        <w:t xml:space="preserve">(a) Discard the first morning specimen and keep all subsequent urine, including the next morning's first void</w:t>
      </w:r>
    </w:p>
    <w:p>
      <w:r>
        <w:t xml:space="preserve">(b) Keep the first morning specimen and discard the last</w:t>
      </w:r>
    </w:p>
    <w:p>
      <w:r>
        <w:t xml:space="preserve">(c) Collect only one specimen</w:t>
      </w:r>
    </w:p>
    <w:p>
      <w:r>
        <w:t xml:space="preserve">(d) Keep the urine in an open container</w:t>
      </w:r>
    </w:p>
    <w:p>
      <w:r>
        <w:t xml:space="preserve">Answer: a</w:t>
      </w:r>
    </w:p>
    <w:p>
      <w:r>
        <w:t xml:space="preserve">Solution: The collection starts with an empty bladder (discard the first void) and ends with the final morning specimen; the container is kept refrigerated or on ice.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According to Naegele's rule, the expected date of delivery is calculated by:</w:t>
      </w:r>
    </w:p>
    <w:p>
      <w:r>
        <w:t xml:space="preserve">(a) Adding 9 months and 7 days to the first day of the last menstrual period</w:t>
      </w:r>
    </w:p>
    <w:p>
      <w:r>
        <w:t xml:space="preserve">(b) Subtracting 7 days from the LMP</w:t>
      </w:r>
    </w:p>
    <w:p>
      <w:r>
        <w:t xml:space="preserve">(c) Adding 7 days to the LMP only</w:t>
      </w:r>
    </w:p>
    <w:p>
      <w:r>
        <w:t xml:space="preserve">(d) Adding 9 months to the LMP only</w:t>
      </w:r>
    </w:p>
    <w:p>
      <w:r>
        <w:t xml:space="preserve">Answer: a</w:t>
      </w:r>
    </w:p>
    <w:p>
      <w:r>
        <w:t xml:space="preserve">Solution: Naegele's rule: LMP + 9 months + 7 days (or LMP - 3 months + 7 days + 1 year).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Under the national program, a mega dose of vitamin A is given to children:</w:t>
      </w:r>
    </w:p>
    <w:p>
      <w:r>
        <w:t xml:space="preserve">(a) From 9 months to 5 years at intervals</w:t>
      </w:r>
    </w:p>
    <w:p>
      <w:r>
        <w:t xml:space="preserve">(b) Only at birth</w:t>
      </w:r>
    </w:p>
    <w:p>
      <w:r>
        <w:t xml:space="preserve">(c) Only to adults</w:t>
      </w:r>
    </w:p>
    <w:p>
      <w:r>
        <w:t xml:space="preserve">(d) Only during pregnancy</w:t>
      </w:r>
    </w:p>
    <w:p>
      <w:r>
        <w:t xml:space="preserve">Answer: a</w:t>
      </w:r>
    </w:p>
    <w:p>
      <w:r>
        <w:t xml:space="preserve">Solution: Vitamin A mega doses begin at 9 months (with measles vaccination) and continue every 6 months up to 5 years to prevent deficiency blindness.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When a client reports hearing voices, the most therapeutic response is:</w:t>
      </w:r>
    </w:p>
    <w:p>
      <w:r>
        <w:t xml:space="preserve">(a) "I hear them too."</w:t>
      </w:r>
    </w:p>
    <w:p>
      <w:r>
        <w:t xml:space="preserve">(b) "That is impossible."</w:t>
      </w:r>
    </w:p>
    <w:p>
      <w:r>
        <w:t xml:space="preserve">(c) "Stop imagining things."</w:t>
      </w:r>
    </w:p>
    <w:p>
      <w:r>
        <w:t xml:space="preserve">(d) "I do not hear voices, but I understand they are real to you."</w:t>
      </w:r>
    </w:p>
    <w:p>
      <w:r>
        <w:t xml:space="preserve">Answer: d</w:t>
      </w:r>
    </w:p>
    <w:p>
      <w:r>
        <w:t xml:space="preserve">Solution: Acknowledging the client's experience without agreeing with the hallucination maintains trust and reality orientation.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Community Health Centre (CHC) is a:</w:t>
      </w:r>
    </w:p>
    <w:p>
      <w:r>
        <w:t xml:space="preserve">(a) Village-level unit</w:t>
      </w:r>
    </w:p>
    <w:p>
      <w:r>
        <w:t xml:space="preserve">(b) First referral unit (30-bed hospital) at the block level</w:t>
      </w:r>
    </w:p>
    <w:p>
      <w:r>
        <w:t xml:space="preserve">(c) Medical college</w:t>
      </w:r>
    </w:p>
    <w:p>
      <w:r>
        <w:t xml:space="preserve">(d) Private clinic</w:t>
      </w:r>
    </w:p>
    <w:p>
      <w:r>
        <w:t xml:space="preserve">Answer: b</w:t>
      </w:r>
    </w:p>
    <w:p>
      <w:r>
        <w:t xml:space="preserve">Solution: A CHC is a 30-bed first-referral hospital at the block level, backed by four primary health centres and their sub-centres.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Metoclopramide is used mainly to:</w:t>
      </w:r>
    </w:p>
    <w:p>
      <w:r>
        <w:t xml:space="preserve">(a) Reduce fever</w:t>
      </w:r>
    </w:p>
    <w:p>
      <w:r>
        <w:t xml:space="preserve">(b) Treat pain</w:t>
      </w:r>
    </w:p>
    <w:p>
      <w:r>
        <w:t xml:space="preserve">(c) Relieve nausea and vomiting</w:t>
      </w:r>
    </w:p>
    <w:p>
      <w:r>
        <w:t xml:space="preserve">(d) Induce sleep</w:t>
      </w:r>
    </w:p>
    <w:p>
      <w:r>
        <w:t xml:space="preserve">Answer: c</w:t>
      </w:r>
    </w:p>
    <w:p>
      <w:r>
        <w:t xml:space="preserve">Solution: Metoclopramide is a prokinetic antiemetic that accelerates gastric emptying and relieves nausea and vomiting.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muscle type is under voluntary control?</w:t>
      </w:r>
    </w:p>
    <w:p>
      <w:r>
        <w:t xml:space="preserve">(a) Skeletal muscle</w:t>
      </w:r>
    </w:p>
    <w:p>
      <w:r>
        <w:t xml:space="preserve">(b) Cardiac muscle</w:t>
      </w:r>
    </w:p>
    <w:p>
      <w:r>
        <w:t xml:space="preserve">(c) Smooth muscle of the gut</w:t>
      </w:r>
    </w:p>
    <w:p>
      <w:r>
        <w:t xml:space="preserve">(d) Smooth muscle of blood vessels</w:t>
      </w:r>
    </w:p>
    <w:p>
      <w:r>
        <w:t xml:space="preserve">Answer: a</w:t>
      </w:r>
    </w:p>
    <w:p>
      <w:r>
        <w:t xml:space="preserve">Solution: Skeletal muscle is controlled voluntarily; cardiac and smooth muscles are involuntary.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simple face mask delivers oxygen at approximately:</w:t>
      </w:r>
    </w:p>
    <w:p>
      <w:r>
        <w:t xml:space="preserve">(a) 100% always</w:t>
      </w:r>
    </w:p>
    <w:p>
      <w:r>
        <w:t xml:space="preserve">(b) 24% always</w:t>
      </w:r>
    </w:p>
    <w:p>
      <w:r>
        <w:t xml:space="preserve">(c) No oxygen</w:t>
      </w:r>
    </w:p>
    <w:p>
      <w:r>
        <w:t xml:space="preserve">(d) 35-60% depending on flow rate</w:t>
      </w:r>
    </w:p>
    <w:p>
      <w:r>
        <w:t xml:space="preserve">Answer: d</w:t>
      </w:r>
    </w:p>
    <w:p>
      <w:r>
        <w:t xml:space="preserve">Solution: A simple face mask at 6-10 L/min delivers roughly 35-60% oxygen; higher concentrations need non-rebreather masks.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An incident report is completed when:</w:t>
      </w:r>
    </w:p>
    <w:p>
      <w:r>
        <w:t xml:space="preserve">(a) A client is discharged</w:t>
      </w:r>
    </w:p>
    <w:p>
      <w:r>
        <w:t xml:space="preserve">(b) An unexpected event occurs that harmed or could have harmed a client</w:t>
      </w:r>
    </w:p>
    <w:p>
      <w:r>
        <w:t xml:space="preserve">(c) A new admission arrives</w:t>
      </w:r>
    </w:p>
    <w:p>
      <w:r>
        <w:t xml:space="preserve">(d) Staff go on break</w:t>
      </w:r>
    </w:p>
    <w:p>
      <w:r>
        <w:t xml:space="preserve">Answer: b</w:t>
      </w:r>
    </w:p>
    <w:p>
      <w:r>
        <w:t xml:space="preserve">Solution: Incident reports document unexpected events (falls, medication errors, injuries) for risk management; they are not part of the medical record.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